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hint="default" w:eastAsia="宋体"/>
          <w:b/>
          <w:color w:val="FFFFFF"/>
          <w:sz w:val="22"/>
          <w:szCs w:val="22"/>
          <w:highlight w:val="none"/>
          <w:lang w:val="en-US" w:eastAsia="zh-CN"/>
        </w:rPr>
      </w:pPr>
      <w:bookmarkStart w:id="0" w:name="OLE_LINK6"/>
      <w:r>
        <w:rPr>
          <w:rFonts w:eastAsia="宋体"/>
          <w:b/>
          <w:sz w:val="22"/>
          <w:szCs w:val="22"/>
          <w:lang w:val="sv-SE" w:eastAsia="zh-CN"/>
        </w:rPr>
        <w:t>3GPP TSG</w:t>
      </w:r>
      <w:r>
        <w:rPr>
          <w:rFonts w:hint="eastAsia" w:eastAsia="宋体"/>
          <w:b/>
          <w:sz w:val="22"/>
          <w:szCs w:val="22"/>
          <w:lang w:val="en-US" w:eastAsia="zh-CN"/>
        </w:rPr>
        <w:t xml:space="preserve"> </w:t>
      </w:r>
      <w:r>
        <w:rPr>
          <w:rFonts w:eastAsia="宋体"/>
          <w:b/>
          <w:sz w:val="22"/>
          <w:szCs w:val="22"/>
          <w:lang w:val="sv-SE" w:eastAsia="zh-CN"/>
        </w:rPr>
        <w:t>RAN</w:t>
      </w:r>
      <w:r>
        <w:rPr>
          <w:rFonts w:hint="eastAsia" w:eastAsia="宋体"/>
          <w:b/>
          <w:sz w:val="22"/>
          <w:szCs w:val="22"/>
          <w:lang w:val="sv-SE" w:eastAsia="zh-CN"/>
        </w:rPr>
        <w:t xml:space="preserve"> WG1 </w:t>
      </w:r>
      <w:r>
        <w:rPr>
          <w:rFonts w:hint="eastAsia" w:eastAsia="宋体"/>
          <w:b/>
          <w:sz w:val="22"/>
          <w:szCs w:val="22"/>
          <w:lang w:val="en-US" w:eastAsia="zh-CN"/>
        </w:rPr>
        <w:t>#96</w:t>
      </w:r>
      <w:r>
        <w:rPr>
          <w:rFonts w:eastAsia="宋体"/>
          <w:b/>
          <w:sz w:val="22"/>
          <w:szCs w:val="22"/>
          <w:lang w:val="sv-SE" w:eastAsia="zh-CN"/>
        </w:rPr>
        <w:tab/>
      </w:r>
      <w:r>
        <w:rPr>
          <w:rFonts w:eastAsia="宋体"/>
          <w:b/>
          <w:sz w:val="22"/>
          <w:szCs w:val="22"/>
          <w:highlight w:val="none"/>
          <w:lang w:val="sv-SE" w:eastAsia="zh-CN"/>
        </w:rPr>
        <w:t>R1-</w:t>
      </w:r>
      <w:r>
        <w:rPr>
          <w:rFonts w:hint="eastAsia" w:eastAsia="宋体"/>
          <w:b/>
          <w:sz w:val="22"/>
          <w:szCs w:val="22"/>
          <w:highlight w:val="none"/>
          <w:lang w:val="en-US" w:eastAsia="zh-CN"/>
        </w:rPr>
        <w:t>1901969</w:t>
      </w:r>
    </w:p>
    <w:p>
      <w:pPr>
        <w:pStyle w:val="92"/>
        <w:tabs>
          <w:tab w:val="right" w:pos="9270"/>
        </w:tabs>
        <w:spacing w:after="0"/>
        <w:ind w:right="134"/>
        <w:jc w:val="both"/>
        <w:rPr>
          <w:rFonts w:hint="default"/>
          <w:b/>
          <w:sz w:val="22"/>
          <w:szCs w:val="22"/>
          <w:lang w:val="en-US"/>
        </w:rPr>
      </w:pPr>
      <w:r>
        <w:rPr>
          <w:rFonts w:hint="eastAsia" w:eastAsia="宋体"/>
          <w:b/>
          <w:bCs/>
          <w:sz w:val="22"/>
          <w:szCs w:val="22"/>
          <w:lang w:val="en-US" w:eastAsia="zh-CN"/>
        </w:rPr>
        <w:t>Athens</w:t>
      </w:r>
      <w:r>
        <w:rPr>
          <w:rFonts w:eastAsia="宋体"/>
          <w:b/>
          <w:sz w:val="22"/>
          <w:szCs w:val="22"/>
          <w:lang w:val="sv-SE" w:eastAsia="zh-CN"/>
        </w:rPr>
        <w:t xml:space="preserve">, </w:t>
      </w:r>
      <w:r>
        <w:rPr>
          <w:rFonts w:hint="eastAsia" w:eastAsia="宋体"/>
          <w:b/>
          <w:sz w:val="22"/>
          <w:szCs w:val="22"/>
          <w:lang w:val="en-US" w:eastAsia="zh-CN"/>
        </w:rPr>
        <w:t>Greece, 25</w:t>
      </w:r>
      <w:r>
        <w:rPr>
          <w:rFonts w:hint="eastAsia" w:eastAsia="宋体"/>
          <w:b/>
          <w:sz w:val="22"/>
          <w:szCs w:val="22"/>
          <w:vertAlign w:val="superscript"/>
          <w:lang w:val="en-US" w:eastAsia="zh-CN"/>
        </w:rPr>
        <w:t>th</w:t>
      </w:r>
      <w:r>
        <w:rPr>
          <w:rFonts w:hint="eastAsia" w:eastAsia="宋体"/>
          <w:b/>
          <w:sz w:val="22"/>
          <w:szCs w:val="22"/>
          <w:lang w:val="en-US" w:eastAsia="zh-CN"/>
        </w:rPr>
        <w:t xml:space="preserve"> February - 1</w:t>
      </w:r>
      <w:r>
        <w:rPr>
          <w:rFonts w:hint="eastAsia" w:eastAsia="宋体"/>
          <w:b/>
          <w:sz w:val="22"/>
          <w:szCs w:val="22"/>
          <w:vertAlign w:val="superscript"/>
          <w:lang w:val="en-US" w:eastAsia="zh-CN"/>
        </w:rPr>
        <w:t>st</w:t>
      </w:r>
      <w:r>
        <w:rPr>
          <w:rFonts w:hint="eastAsia" w:eastAsia="宋体"/>
          <w:b/>
          <w:sz w:val="22"/>
          <w:szCs w:val="22"/>
          <w:lang w:val="en-US" w:eastAsia="zh-CN"/>
        </w:rPr>
        <w:t xml:space="preserve"> March,</w:t>
      </w:r>
      <w:r>
        <w:rPr>
          <w:rFonts w:hint="eastAsia" w:eastAsia="宋体"/>
          <w:b/>
          <w:sz w:val="22"/>
          <w:szCs w:val="22"/>
          <w:lang w:val="sv-SE" w:eastAsia="zh-CN"/>
        </w:rPr>
        <w:t xml:space="preserve"> 201</w:t>
      </w:r>
      <w:r>
        <w:rPr>
          <w:rFonts w:hint="eastAsia" w:eastAsia="宋体"/>
          <w:b/>
          <w:sz w:val="22"/>
          <w:szCs w:val="22"/>
          <w:lang w:val="en-US" w:eastAsia="zh-CN"/>
        </w:rPr>
        <w:t>9</w:t>
      </w:r>
    </w:p>
    <w:p>
      <w:pPr>
        <w:pStyle w:val="92"/>
        <w:tabs>
          <w:tab w:val="right" w:pos="9639"/>
        </w:tabs>
        <w:spacing w:after="0"/>
        <w:jc w:val="both"/>
        <w:rPr>
          <w:rFonts w:eastAsia="宋体"/>
          <w:b/>
          <w:sz w:val="22"/>
          <w:szCs w:val="22"/>
          <w:lang w:val="sv-SE" w:eastAsia="zh-CN"/>
        </w:rPr>
      </w:pPr>
    </w:p>
    <w:p>
      <w:pPr>
        <w:pStyle w:val="20"/>
        <w:spacing w:after="100" w:line="260" w:lineRule="auto"/>
        <w:ind w:left="1797" w:hanging="1797"/>
        <w:rPr>
          <w:rFonts w:hint="default" w:eastAsia="宋体"/>
          <w:sz w:val="22"/>
          <w:szCs w:val="22"/>
          <w:lang w:val="en-US" w:eastAsia="zh-CN"/>
        </w:rPr>
      </w:pPr>
      <w:r>
        <w:rPr>
          <w:rFonts w:eastAsia="宋体"/>
          <w:sz w:val="22"/>
          <w:szCs w:val="22"/>
          <w:lang w:eastAsia="zh-CN"/>
        </w:rPr>
        <w:t xml:space="preserve">Title:                     </w:t>
      </w:r>
      <w:r>
        <w:rPr>
          <w:rFonts w:hint="eastAsia" w:eastAsia="宋体"/>
          <w:sz w:val="22"/>
          <w:szCs w:val="22"/>
          <w:lang w:val="en-US" w:eastAsia="zh-CN"/>
        </w:rPr>
        <w:t>D</w:t>
      </w:r>
      <w:r>
        <w:rPr>
          <w:rFonts w:hint="eastAsia" w:ascii="Arial" w:hAnsi="Arial" w:eastAsia="宋体" w:cs="Times New Roman"/>
          <w:b/>
          <w:sz w:val="22"/>
          <w:szCs w:val="22"/>
          <w:lang w:val="en-US" w:eastAsia="zh-CN" w:bidi="ar-SA"/>
        </w:rPr>
        <w:t xml:space="preserve">iscussion on </w:t>
      </w:r>
      <w:r>
        <w:rPr>
          <w:rFonts w:hint="eastAsia" w:eastAsia="宋体" w:cs="Times New Roman"/>
          <w:b/>
          <w:sz w:val="22"/>
          <w:szCs w:val="22"/>
          <w:lang w:val="en-US" w:eastAsia="zh-CN" w:bidi="ar-SA"/>
        </w:rPr>
        <w:t>remaining issues of CLI</w:t>
      </w:r>
      <w:r>
        <w:rPr>
          <w:rFonts w:hint="eastAsia" w:ascii="Arial" w:hAnsi="Arial" w:eastAsia="宋体" w:cs="Times New Roman"/>
          <w:b/>
          <w:sz w:val="22"/>
          <w:szCs w:val="22"/>
          <w:lang w:val="en-US" w:eastAsia="zh-CN" w:bidi="ar-SA"/>
        </w:rPr>
        <w:t xml:space="preserve"> measurement and reporting</w:t>
      </w:r>
    </w:p>
    <w:p>
      <w:pPr>
        <w:pStyle w:val="20"/>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pPr>
        <w:pStyle w:val="20"/>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w:t>
      </w:r>
      <w:r>
        <w:rPr>
          <w:rFonts w:hint="eastAsia" w:eastAsia="宋体"/>
          <w:sz w:val="22"/>
          <w:szCs w:val="22"/>
          <w:lang w:val="sv-SE" w:eastAsia="zh-CN"/>
        </w:rPr>
        <w:t>.</w:t>
      </w:r>
      <w:r>
        <w:rPr>
          <w:rFonts w:hint="eastAsia" w:eastAsia="宋体"/>
          <w:sz w:val="22"/>
          <w:szCs w:val="22"/>
          <w:lang w:val="en-US" w:eastAsia="zh-CN"/>
        </w:rPr>
        <w:t>5.1</w:t>
      </w:r>
    </w:p>
    <w:p>
      <w:pPr>
        <w:pStyle w:val="20"/>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keepNext w:val="0"/>
        <w:keepLines w:val="0"/>
        <w:pageBreakBefore w:val="0"/>
        <w:widowControl w:val="0"/>
        <w:kinsoku/>
        <w:wordWrap/>
        <w:overflowPunct/>
        <w:topLinePunct w:val="0"/>
        <w:autoSpaceDE w:val="0"/>
        <w:autoSpaceDN w:val="0"/>
        <w:bidi w:val="0"/>
        <w:adjustRightInd w:val="0"/>
        <w:snapToGrid/>
        <w:spacing w:after="180" w:afterAutospacing="0"/>
        <w:jc w:val="both"/>
        <w:textAlignment w:val="auto"/>
        <w:outlineLvl w:val="9"/>
        <w:rPr>
          <w:rFonts w:hint="eastAsia" w:eastAsia="宋体"/>
          <w:sz w:val="20"/>
          <w:szCs w:val="20"/>
          <w:lang w:val="en-US" w:eastAsia="zh-CN"/>
        </w:rPr>
      </w:pPr>
      <w:bookmarkStart w:id="1" w:name="OLE_LINK1"/>
      <w:bookmarkStart w:id="2" w:name="OLE_LINK15"/>
      <w:bookmarkStart w:id="3" w:name="OLE_LINK2"/>
      <w:bookmarkStart w:id="4" w:name="OLE_LINK16"/>
      <w:r>
        <w:rPr>
          <w:rFonts w:hint="eastAsia" w:eastAsia="宋体"/>
          <w:sz w:val="20"/>
          <w:szCs w:val="20"/>
          <w:lang w:val="en-US" w:eastAsia="zh-CN"/>
        </w:rPr>
        <w:t>T</w:t>
      </w:r>
      <w:r>
        <w:rPr>
          <w:rFonts w:eastAsia="宋体"/>
          <w:sz w:val="20"/>
          <w:szCs w:val="20"/>
          <w:lang w:val="en-US" w:eastAsia="zh-CN"/>
        </w:rPr>
        <w:t xml:space="preserve">he </w:t>
      </w:r>
      <w:r>
        <w:rPr>
          <w:rFonts w:hint="eastAsia" w:eastAsia="宋体"/>
          <w:sz w:val="20"/>
          <w:szCs w:val="20"/>
          <w:lang w:val="en-US" w:eastAsia="zh-CN"/>
        </w:rPr>
        <w:t>revised W</w:t>
      </w:r>
      <w:r>
        <w:rPr>
          <w:rFonts w:eastAsia="宋体"/>
          <w:sz w:val="20"/>
          <w:szCs w:val="20"/>
          <w:lang w:val="en-US" w:eastAsia="zh-CN"/>
        </w:rPr>
        <w:t xml:space="preserve">ID on NR </w:t>
      </w:r>
      <w:r>
        <w:rPr>
          <w:rFonts w:hint="eastAsia" w:eastAsia="宋体"/>
          <w:sz w:val="20"/>
          <w:szCs w:val="20"/>
          <w:lang w:val="en-US" w:eastAsia="zh-CN"/>
        </w:rPr>
        <w:t xml:space="preserve">CLI (Cross Link Interference) and </w:t>
      </w:r>
      <w:r>
        <w:rPr>
          <w:rFonts w:eastAsia="宋体"/>
          <w:sz w:val="20"/>
          <w:szCs w:val="20"/>
          <w:lang w:val="en-US" w:eastAsia="zh-CN"/>
        </w:rPr>
        <w:t>RIM (Remote Interference Management) [1] was approved in RAN#8</w:t>
      </w:r>
      <w:r>
        <w:rPr>
          <w:rFonts w:hint="eastAsia" w:eastAsia="宋体"/>
          <w:sz w:val="20"/>
          <w:szCs w:val="20"/>
          <w:lang w:val="en-US" w:eastAsia="zh-CN"/>
        </w:rPr>
        <w:t>2</w:t>
      </w:r>
      <w:r>
        <w:rPr>
          <w:rFonts w:eastAsia="宋体"/>
          <w:sz w:val="20"/>
          <w:szCs w:val="20"/>
          <w:lang w:val="en-US" w:eastAsia="zh-CN"/>
        </w:rPr>
        <w:t xml:space="preserve"> plenary meeting</w:t>
      </w:r>
      <w:r>
        <w:rPr>
          <w:rFonts w:hint="eastAsia" w:eastAsia="宋体"/>
          <w:sz w:val="20"/>
          <w:szCs w:val="20"/>
          <w:lang w:val="en-US" w:eastAsia="zh-CN"/>
        </w:rPr>
        <w:t>.</w:t>
      </w:r>
      <w:r>
        <w:rPr>
          <w:rFonts w:eastAsia="宋体"/>
          <w:sz w:val="20"/>
          <w:szCs w:val="20"/>
          <w:lang w:val="en-US" w:eastAsia="zh-CN"/>
        </w:rPr>
        <w:t xml:space="preserve"> </w:t>
      </w:r>
      <w:r>
        <w:rPr>
          <w:rFonts w:hint="eastAsia" w:eastAsia="宋体"/>
          <w:sz w:val="20"/>
          <w:szCs w:val="20"/>
          <w:lang w:val="en-US" w:eastAsia="zh-CN"/>
        </w:rPr>
        <w:t>In CLI part, RAN1</w:t>
      </w:r>
      <w:r>
        <w:rPr>
          <w:rFonts w:eastAsia="宋体"/>
          <w:sz w:val="20"/>
          <w:szCs w:val="20"/>
          <w:lang w:val="en-US" w:eastAsia="zh-CN"/>
        </w:rPr>
        <w:t xml:space="preserve"> aims to </w:t>
      </w:r>
      <w:r>
        <w:rPr>
          <w:rFonts w:hint="eastAsia"/>
          <w:bCs/>
          <w:sz w:val="20"/>
          <w:szCs w:val="20"/>
          <w:lang w:eastAsia="ko-KR"/>
        </w:rPr>
        <w:t>specify cross-link interference mitigation techniques to s</w:t>
      </w:r>
      <w:r>
        <w:rPr>
          <w:rFonts w:hint="eastAsia"/>
          <w:bCs/>
          <w:color w:val="auto"/>
          <w:sz w:val="20"/>
          <w:szCs w:val="20"/>
          <w:lang w:eastAsia="ko-KR"/>
        </w:rPr>
        <w:t>upport flexible resource adaptation</w:t>
      </w:r>
      <w:r>
        <w:rPr>
          <w:rFonts w:hint="eastAsia"/>
          <w:bCs/>
          <w:color w:val="auto"/>
          <w:sz w:val="20"/>
          <w:szCs w:val="20"/>
          <w:lang w:val="en-US" w:eastAsia="zh-CN"/>
        </w:rPr>
        <w:t xml:space="preserve"> for unpaired NR cells</w:t>
      </w:r>
      <w:r>
        <w:rPr>
          <w:rFonts w:hint="eastAsia" w:eastAsia="宋体"/>
          <w:color w:val="auto"/>
          <w:sz w:val="20"/>
          <w:szCs w:val="20"/>
          <w:lang w:val="en-US" w:eastAsia="zh-CN"/>
        </w:rPr>
        <w:t xml:space="preserve">. </w:t>
      </w:r>
      <w:r>
        <w:rPr>
          <w:rFonts w:hint="eastAsia"/>
          <w:bCs/>
          <w:color w:val="000000" w:themeColor="text1"/>
          <w:sz w:val="20"/>
          <w:szCs w:val="20"/>
          <w:lang w:val="en-US" w:eastAsia="zh-CN"/>
          <w14:textFill>
            <w14:solidFill>
              <w14:schemeClr w14:val="tx1"/>
            </w14:solidFill>
          </w14:textFill>
        </w:rPr>
        <w:t xml:space="preserve">In RAN1 AH#1901, some further agreements were reached for CLI measurement and reporting [2]. </w:t>
      </w:r>
      <w:r>
        <w:rPr>
          <w:rFonts w:hint="eastAsia"/>
          <w:color w:val="auto"/>
          <w:sz w:val="20"/>
          <w:szCs w:val="20"/>
        </w:rPr>
        <w:t>T</w:t>
      </w:r>
      <w:r>
        <w:rPr>
          <w:color w:val="auto"/>
          <w:sz w:val="20"/>
          <w:szCs w:val="20"/>
        </w:rPr>
        <w:t xml:space="preserve">he detailed objectives for </w:t>
      </w:r>
      <w:r>
        <w:rPr>
          <w:rFonts w:hint="eastAsia" w:eastAsia="宋体"/>
          <w:color w:val="auto"/>
          <w:sz w:val="20"/>
          <w:szCs w:val="20"/>
          <w:lang w:val="en-US" w:eastAsia="zh-CN"/>
        </w:rPr>
        <w:t xml:space="preserve">CLI in WID and the agreements reached in last RAN1 meeting </w:t>
      </w:r>
      <w:r>
        <w:rPr>
          <w:color w:val="auto"/>
          <w:sz w:val="20"/>
          <w:szCs w:val="20"/>
        </w:rPr>
        <w:t>are</w:t>
      </w:r>
      <w:r>
        <w:rPr>
          <w:rFonts w:hint="eastAsia" w:eastAsia="宋体"/>
          <w:color w:val="auto"/>
          <w:sz w:val="20"/>
          <w:szCs w:val="20"/>
          <w:lang w:val="en-US" w:eastAsia="zh-CN"/>
        </w:rPr>
        <w:t xml:space="preserve"> as follows:</w:t>
      </w:r>
    </w:p>
    <w:p>
      <w:pPr>
        <w:numPr>
          <w:ilvl w:val="0"/>
          <w:numId w:val="10"/>
        </w:numPr>
        <w:spacing w:after="0"/>
        <w:rPr>
          <w:sz w:val="20"/>
          <w:szCs w:val="20"/>
        </w:rPr>
      </w:pPr>
      <w:r>
        <w:rPr>
          <w:sz w:val="20"/>
          <w:szCs w:val="20"/>
        </w:rPr>
        <w:t>Specify cross-link interfere</w:t>
      </w:r>
      <w:r>
        <w:rPr>
          <w:sz w:val="20"/>
          <w:szCs w:val="20"/>
          <w:highlight w:val="none"/>
        </w:rPr>
        <w:t>nce measurements and reporting at</w:t>
      </w:r>
      <w:r>
        <w:rPr>
          <w:sz w:val="20"/>
          <w:szCs w:val="20"/>
        </w:rPr>
        <w:t xml:space="preserve"> a UE (e.g., CLI-RSSI and/or CLI-RSRP) [RAN1, RAN2, RAN4] </w:t>
      </w:r>
    </w:p>
    <w:p>
      <w:pPr>
        <w:numPr>
          <w:ilvl w:val="0"/>
          <w:numId w:val="10"/>
        </w:numPr>
        <w:spacing w:after="0"/>
        <w:rPr>
          <w:sz w:val="20"/>
          <w:szCs w:val="20"/>
        </w:rPr>
      </w:pPr>
      <w:r>
        <w:rPr>
          <w:sz w:val="20"/>
          <w:szCs w:val="20"/>
        </w:rPr>
        <w:t>Specify network coordination mechanism(s) including at least exchange of intended DL/UL configuration [RAN1, RAN3]</w:t>
      </w:r>
    </w:p>
    <w:p>
      <w:pPr>
        <w:numPr>
          <w:ilvl w:val="0"/>
          <w:numId w:val="10"/>
        </w:numPr>
        <w:spacing w:after="0"/>
        <w:rPr>
          <w:sz w:val="20"/>
          <w:szCs w:val="20"/>
        </w:rPr>
      </w:pPr>
      <w:r>
        <w:rPr>
          <w:sz w:val="20"/>
          <w:szCs w:val="20"/>
        </w:rPr>
        <w:t>Perform coexistence study to identify conditions of coexistence among different operators in adjacent channels [RAN4]</w:t>
      </w:r>
    </w:p>
    <w:p>
      <w:pPr>
        <w:keepNext w:val="0"/>
        <w:keepLines w:val="0"/>
        <w:pageBreakBefore w:val="0"/>
        <w:widowControl/>
        <w:numPr>
          <w:ilvl w:val="1"/>
          <w:numId w:val="10"/>
        </w:numPr>
        <w:kinsoku/>
        <w:wordWrap/>
        <w:overflowPunct/>
        <w:topLinePunct w:val="0"/>
        <w:autoSpaceDE/>
        <w:autoSpaceDN/>
        <w:bidi w:val="0"/>
        <w:adjustRightInd/>
        <w:snapToGrid/>
        <w:spacing w:after="60" w:afterAutospacing="0"/>
        <w:ind w:left="1446" w:hanging="363"/>
        <w:textAlignment w:val="auto"/>
        <w:outlineLvl w:val="9"/>
        <w:rPr>
          <w:sz w:val="20"/>
          <w:szCs w:val="20"/>
        </w:rPr>
      </w:pPr>
      <w:r>
        <w:rPr>
          <w:sz w:val="20"/>
          <w:szCs w:val="20"/>
        </w:rPr>
        <w:t>Target no or very minimal impact on RF requirement</w:t>
      </w:r>
    </w:p>
    <w:p>
      <w:pPr>
        <w:keepNext w:val="0"/>
        <w:keepLines w:val="0"/>
        <w:pageBreakBefore w:val="0"/>
        <w:widowControl/>
        <w:kinsoku/>
        <w:wordWrap/>
        <w:overflowPunct/>
        <w:topLinePunct w:val="0"/>
        <w:autoSpaceDE/>
        <w:autoSpaceDN/>
        <w:bidi w:val="0"/>
        <w:adjustRightInd/>
        <w:snapToGrid/>
        <w:spacing w:after="180" w:line="260" w:lineRule="auto"/>
        <w:textAlignment w:val="auto"/>
        <w:outlineLvl w:val="9"/>
        <w:rPr>
          <w:rFonts w:hint="eastAsia"/>
          <w:lang w:eastAsia="ko-KR"/>
        </w:rPr>
      </w:pPr>
      <w:r>
        <w:rPr>
          <w:sz w:val="20"/>
          <w:szCs w:val="20"/>
          <w:lang w:eastAsia="ko-KR"/>
        </w:rPr>
        <w:t xml:space="preserve"> </w:t>
      </w:r>
      <w:r>
        <w:rPr>
          <w:rFonts w:hint="eastAsia" w:eastAsia="宋体"/>
          <w:sz w:val="20"/>
          <w:szCs w:val="20"/>
          <w:lang w:val="en-US" w:eastAsia="zh-CN"/>
        </w:rPr>
        <w:t xml:space="preserve">      </w:t>
      </w:r>
      <w:r>
        <w:rPr>
          <w:lang w:eastAsia="ko-KR"/>
        </w:rPr>
        <w:t>Note:</w:t>
      </w:r>
      <w:r>
        <w:rPr>
          <w:rFonts w:hint="eastAsia"/>
          <w:lang w:eastAsia="ko-KR"/>
        </w:rPr>
        <w:t xml:space="preserve"> Measurement and coordination mechanisms </w:t>
      </w:r>
      <w:r>
        <w:rPr>
          <w:lang w:eastAsia="ko-KR"/>
        </w:rPr>
        <w:t>should be applicable to</w:t>
      </w:r>
      <w:r>
        <w:rPr>
          <w:rFonts w:hint="eastAsia"/>
          <w:lang w:eastAsia="ko-KR"/>
        </w:rPr>
        <w:t xml:space="preserve"> IAB </w:t>
      </w:r>
      <w:r>
        <w:rPr>
          <w:lang w:eastAsia="ko-KR"/>
        </w:rPr>
        <w:t xml:space="preserve">nodes. </w:t>
      </w:r>
    </w:p>
    <w:p>
      <w:pPr>
        <w:spacing w:after="0" w:line="260" w:lineRule="auto"/>
        <w:rPr>
          <w:szCs w:val="28"/>
          <w:highlight w:val="green"/>
          <w:lang w:eastAsia="zh-CN"/>
        </w:rPr>
      </w:pPr>
      <w:r>
        <w:rPr>
          <w:szCs w:val="28"/>
          <w:highlight w:val="green"/>
          <w:lang w:eastAsia="zh-CN"/>
        </w:rPr>
        <w:t>Agreement</w:t>
      </w:r>
    </w:p>
    <w:p>
      <w:pPr>
        <w:spacing w:after="0" w:line="260" w:lineRule="auto"/>
        <w:rPr>
          <w:szCs w:val="28"/>
          <w:lang w:eastAsia="zh-CN"/>
        </w:rPr>
      </w:pPr>
      <w:r>
        <w:rPr>
          <w:szCs w:val="28"/>
          <w:lang w:eastAsia="zh-CN"/>
        </w:rPr>
        <w:t>The following CLI measurements are supported:</w:t>
      </w:r>
    </w:p>
    <w:p>
      <w:pPr>
        <w:pStyle w:val="127"/>
        <w:numPr>
          <w:ilvl w:val="0"/>
          <w:numId w:val="11"/>
        </w:numPr>
        <w:overflowPunct/>
        <w:autoSpaceDE/>
        <w:autoSpaceDN/>
        <w:adjustRightInd/>
        <w:spacing w:after="0" w:line="260" w:lineRule="auto"/>
        <w:contextualSpacing w:val="0"/>
        <w:textAlignment w:val="auto"/>
        <w:rPr>
          <w:color w:val="000000"/>
          <w:szCs w:val="21"/>
          <w:lang w:eastAsia="zh-CN"/>
        </w:rPr>
      </w:pPr>
      <w:r>
        <w:rPr>
          <w:color w:val="000000"/>
          <w:szCs w:val="21"/>
          <w:lang w:eastAsia="zh-CN"/>
        </w:rPr>
        <w:t>SRS-RSRP:</w:t>
      </w:r>
    </w:p>
    <w:p>
      <w:pPr>
        <w:numPr>
          <w:ilvl w:val="1"/>
          <w:numId w:val="11"/>
        </w:numPr>
        <w:spacing w:after="0" w:line="260" w:lineRule="auto"/>
        <w:rPr>
          <w:szCs w:val="28"/>
          <w:lang w:eastAsia="zh-CN"/>
        </w:rPr>
      </w:pPr>
      <w:r>
        <w:rPr>
          <w:szCs w:val="28"/>
          <w:lang w:eastAsia="zh-CN"/>
        </w:rPr>
        <w:t>Linear average of the power contributions of the SRS to be measured over the configured resource elements within the considered measurement frequency bandwidth in the time resources in the configured measurement occasions</w:t>
      </w:r>
    </w:p>
    <w:p>
      <w:pPr>
        <w:pStyle w:val="127"/>
        <w:numPr>
          <w:ilvl w:val="0"/>
          <w:numId w:val="11"/>
        </w:numPr>
        <w:overflowPunct/>
        <w:autoSpaceDE/>
        <w:autoSpaceDN/>
        <w:adjustRightInd/>
        <w:spacing w:after="0" w:line="260" w:lineRule="auto"/>
        <w:contextualSpacing w:val="0"/>
        <w:textAlignment w:val="auto"/>
        <w:rPr>
          <w:color w:val="000000"/>
          <w:szCs w:val="21"/>
          <w:lang w:eastAsia="zh-CN"/>
        </w:rPr>
      </w:pPr>
      <w:r>
        <w:rPr>
          <w:color w:val="000000"/>
          <w:szCs w:val="21"/>
          <w:lang w:eastAsia="zh-CN"/>
        </w:rPr>
        <w:t>RSSI:</w:t>
      </w:r>
    </w:p>
    <w:p>
      <w:pPr>
        <w:numPr>
          <w:ilvl w:val="1"/>
          <w:numId w:val="11"/>
        </w:numPr>
        <w:spacing w:after="0" w:line="260" w:lineRule="auto"/>
        <w:rPr>
          <w:szCs w:val="28"/>
          <w:lang w:eastAsia="zh-CN"/>
        </w:rPr>
      </w:pPr>
      <w:r>
        <w:rPr>
          <w:szCs w:val="28"/>
          <w:lang w:eastAsia="zh-CN"/>
        </w:rPr>
        <w:t>The linear average of the total received power observed only in certain OFDM symbols of measurement time resource(s), in the measurement bandwidth, over the configured resource elements for measurement by the UE</w:t>
      </w:r>
    </w:p>
    <w:p>
      <w:pPr>
        <w:pStyle w:val="127"/>
        <w:numPr>
          <w:ilvl w:val="0"/>
          <w:numId w:val="11"/>
        </w:numPr>
        <w:spacing w:after="0" w:line="260" w:lineRule="auto"/>
        <w:rPr>
          <w:szCs w:val="28"/>
          <w:lang w:eastAsia="zh-CN"/>
        </w:rPr>
      </w:pPr>
      <w:r>
        <w:rPr>
          <w:szCs w:val="28"/>
          <w:lang w:eastAsia="zh-CN"/>
        </w:rPr>
        <w:t>For SRS-RSRP:</w:t>
      </w:r>
    </w:p>
    <w:p>
      <w:pPr>
        <w:pStyle w:val="127"/>
        <w:numPr>
          <w:ilvl w:val="0"/>
          <w:numId w:val="11"/>
        </w:numPr>
        <w:overflowPunct/>
        <w:autoSpaceDE/>
        <w:autoSpaceDN/>
        <w:adjustRightInd/>
        <w:spacing w:after="0" w:line="260" w:lineRule="auto"/>
        <w:contextualSpacing w:val="0"/>
        <w:textAlignment w:val="auto"/>
        <w:rPr>
          <w:color w:val="000000"/>
          <w:szCs w:val="21"/>
          <w:lang w:eastAsia="zh-CN"/>
        </w:rPr>
      </w:pPr>
      <w:r>
        <w:rPr>
          <w:color w:val="000000"/>
          <w:szCs w:val="21"/>
          <w:lang w:eastAsia="zh-CN"/>
        </w:rPr>
        <w:t>The number of SRS to be monitored by the UE should not exceed 8 within a slot</w:t>
      </w:r>
    </w:p>
    <w:p>
      <w:pPr>
        <w:numPr>
          <w:ilvl w:val="1"/>
          <w:numId w:val="11"/>
        </w:numPr>
        <w:tabs>
          <w:tab w:val="left" w:pos="630"/>
        </w:tabs>
        <w:spacing w:after="0" w:line="260" w:lineRule="auto"/>
        <w:rPr>
          <w:szCs w:val="28"/>
          <w:highlight w:val="none"/>
        </w:rPr>
      </w:pPr>
      <w:r>
        <w:rPr>
          <w:szCs w:val="28"/>
        </w:rPr>
        <w:t>Netw</w:t>
      </w:r>
      <w:r>
        <w:rPr>
          <w:szCs w:val="28"/>
          <w:highlight w:val="none"/>
        </w:rPr>
        <w:t>ork may configure more than 8 SRSs over different slots</w:t>
      </w:r>
    </w:p>
    <w:p>
      <w:pPr>
        <w:numPr>
          <w:ilvl w:val="1"/>
          <w:numId w:val="11"/>
        </w:numPr>
        <w:tabs>
          <w:tab w:val="left" w:pos="630"/>
        </w:tabs>
        <w:spacing w:after="0" w:line="260" w:lineRule="auto"/>
        <w:rPr>
          <w:szCs w:val="28"/>
          <w:highlight w:val="none"/>
        </w:rPr>
      </w:pPr>
      <w:r>
        <w:rPr>
          <w:szCs w:val="28"/>
          <w:highlight w:val="none"/>
        </w:rPr>
        <w:t>The total number of SRSs to be monitored by a UE should not exceed [32]</w:t>
      </w:r>
    </w:p>
    <w:p>
      <w:pPr>
        <w:pStyle w:val="127"/>
        <w:numPr>
          <w:ilvl w:val="0"/>
          <w:numId w:val="11"/>
        </w:numPr>
        <w:overflowPunct/>
        <w:autoSpaceDE/>
        <w:autoSpaceDN/>
        <w:adjustRightInd/>
        <w:spacing w:after="0" w:line="260" w:lineRule="auto"/>
        <w:contextualSpacing w:val="0"/>
        <w:textAlignment w:val="auto"/>
        <w:rPr>
          <w:color w:val="000000"/>
          <w:szCs w:val="21"/>
          <w:highlight w:val="none"/>
          <w:lang w:eastAsia="zh-CN"/>
        </w:rPr>
      </w:pPr>
      <w:r>
        <w:rPr>
          <w:color w:val="000000"/>
          <w:szCs w:val="21"/>
          <w:highlight w:val="none"/>
          <w:lang w:eastAsia="zh-CN"/>
        </w:rPr>
        <w:t>The UE is not required to perform time tracking or time adjustment other than a constant offset relative to its own DL timing in order to perform SRS-RSRP measurement</w:t>
      </w:r>
    </w:p>
    <w:p>
      <w:pPr>
        <w:numPr>
          <w:ilvl w:val="1"/>
          <w:numId w:val="11"/>
        </w:numPr>
        <w:tabs>
          <w:tab w:val="left" w:pos="630"/>
        </w:tabs>
        <w:spacing w:after="0" w:line="260" w:lineRule="auto"/>
        <w:rPr>
          <w:szCs w:val="28"/>
          <w:highlight w:val="none"/>
        </w:rPr>
      </w:pPr>
      <w:r>
        <w:rPr>
          <w:szCs w:val="28"/>
          <w:highlight w:val="none"/>
        </w:rPr>
        <w:t>FFS: Details on how the constant offset is derived by the UE. The constant offset of 0 is not precluded.</w:t>
      </w:r>
    </w:p>
    <w:p>
      <w:pPr>
        <w:numPr>
          <w:ilvl w:val="1"/>
          <w:numId w:val="11"/>
        </w:numPr>
        <w:tabs>
          <w:tab w:val="left" w:pos="630"/>
        </w:tabs>
        <w:spacing w:after="0" w:line="260" w:lineRule="auto"/>
        <w:rPr>
          <w:szCs w:val="28"/>
          <w:highlight w:val="none"/>
        </w:rPr>
      </w:pPr>
      <w:r>
        <w:rPr>
          <w:szCs w:val="28"/>
          <w:highlight w:val="none"/>
        </w:rPr>
        <w:t>FFS: Whether or not to have measurement accuracy relaxation</w:t>
      </w:r>
    </w:p>
    <w:p>
      <w:pPr>
        <w:numPr>
          <w:ilvl w:val="1"/>
          <w:numId w:val="11"/>
        </w:numPr>
        <w:tabs>
          <w:tab w:val="left" w:pos="630"/>
        </w:tabs>
        <w:spacing w:after="0" w:line="260" w:lineRule="auto"/>
        <w:rPr>
          <w:szCs w:val="28"/>
          <w:highlight w:val="none"/>
        </w:rPr>
      </w:pPr>
      <w:r>
        <w:rPr>
          <w:szCs w:val="28"/>
          <w:highlight w:val="none"/>
        </w:rPr>
        <w:t>FFS: Timing for the transmission point of view</w:t>
      </w:r>
    </w:p>
    <w:p>
      <w:pPr>
        <w:pStyle w:val="127"/>
        <w:numPr>
          <w:ilvl w:val="0"/>
          <w:numId w:val="11"/>
        </w:numPr>
        <w:overflowPunct/>
        <w:autoSpaceDE/>
        <w:autoSpaceDN/>
        <w:adjustRightInd/>
        <w:spacing w:after="0" w:line="260" w:lineRule="auto"/>
        <w:contextualSpacing w:val="0"/>
        <w:textAlignment w:val="auto"/>
        <w:rPr>
          <w:color w:val="000000"/>
          <w:szCs w:val="21"/>
          <w:lang w:eastAsia="zh-CN"/>
        </w:rPr>
      </w:pPr>
      <w:r>
        <w:rPr>
          <w:color w:val="000000"/>
          <w:szCs w:val="21"/>
          <w:lang w:eastAsia="zh-CN"/>
        </w:rPr>
        <w:t>UE is not required to measure SRS using different SCS compared to the downlink active BWP SCS of the same carrier</w:t>
      </w:r>
    </w:p>
    <w:p>
      <w:pPr>
        <w:spacing w:after="0" w:line="260" w:lineRule="auto"/>
        <w:rPr>
          <w:lang w:val="en-US"/>
        </w:rPr>
      </w:pPr>
    </w:p>
    <w:p>
      <w:pPr>
        <w:spacing w:after="0" w:line="260" w:lineRule="auto"/>
        <w:rPr>
          <w:szCs w:val="22"/>
          <w:highlight w:val="green"/>
          <w:lang w:eastAsia="ko-KR"/>
        </w:rPr>
      </w:pPr>
      <w:r>
        <w:rPr>
          <w:szCs w:val="22"/>
          <w:highlight w:val="green"/>
          <w:lang w:eastAsia="ko-KR"/>
        </w:rPr>
        <w:t>Agreement</w:t>
      </w:r>
    </w:p>
    <w:p>
      <w:pPr>
        <w:spacing w:after="0" w:line="260" w:lineRule="auto"/>
        <w:rPr>
          <w:rFonts w:eastAsia="Malgun Gothic"/>
          <w:highlight w:val="none"/>
        </w:rPr>
      </w:pPr>
      <w:r>
        <w:rPr>
          <w:rFonts w:eastAsia="Malgun Gothic"/>
          <w:highlight w:val="none"/>
          <w:lang w:val="en-US" w:eastAsia="ko-KR"/>
        </w:rPr>
        <w:t xml:space="preserve">Measurement resource for SRS-RSRP measurement is configured by </w:t>
      </w:r>
      <w:r>
        <w:rPr>
          <w:rFonts w:eastAsia="Malgun Gothic"/>
          <w:highlight w:val="none"/>
        </w:rPr>
        <w:t>SRS resource configuration.</w:t>
      </w:r>
    </w:p>
    <w:p>
      <w:pPr>
        <w:spacing w:after="0" w:line="260" w:lineRule="auto"/>
        <w:rPr>
          <w:rFonts w:eastAsia="Malgun Gothic"/>
          <w:szCs w:val="22"/>
          <w:highlight w:val="none"/>
        </w:rPr>
      </w:pPr>
      <w:r>
        <w:rPr>
          <w:rFonts w:eastAsia="Malgun Gothic"/>
          <w:szCs w:val="22"/>
          <w:highlight w:val="none"/>
        </w:rPr>
        <w:t>FFS: Whether REs for PDSCH is rate matched around the REs for SRS for SRS-RSRP measurement or not.</w:t>
      </w:r>
    </w:p>
    <w:p>
      <w:pPr>
        <w:spacing w:after="0" w:line="260" w:lineRule="auto"/>
        <w:rPr>
          <w:rFonts w:eastAsia="Malgun Gothic"/>
          <w:szCs w:val="22"/>
          <w:highlight w:val="none"/>
        </w:rPr>
      </w:pPr>
      <w:r>
        <w:rPr>
          <w:rFonts w:eastAsia="Malgun Gothic"/>
          <w:szCs w:val="22"/>
          <w:highlight w:val="none"/>
        </w:rPr>
        <w:t>FFS: Whether OFDM symbol(s) for PDSCH is rate-matched or not.</w:t>
      </w:r>
    </w:p>
    <w:p>
      <w:pPr>
        <w:numPr>
          <w:ilvl w:val="0"/>
          <w:numId w:val="12"/>
        </w:numPr>
        <w:spacing w:after="0" w:line="260" w:lineRule="auto"/>
        <w:rPr>
          <w:rFonts w:eastAsia="Malgun Gothic"/>
          <w:szCs w:val="22"/>
        </w:rPr>
      </w:pPr>
      <w:r>
        <w:rPr>
          <w:rFonts w:eastAsia="Malgun Gothic"/>
          <w:szCs w:val="22"/>
          <w:highlight w:val="none"/>
        </w:rPr>
        <w:t>Note: If Rel-15 already supports this functionality, no additional spe</w:t>
      </w:r>
      <w:r>
        <w:rPr>
          <w:rFonts w:eastAsia="Malgun Gothic"/>
          <w:szCs w:val="22"/>
        </w:rPr>
        <w:t>cification support will be introduced</w:t>
      </w:r>
    </w:p>
    <w:p>
      <w:pPr>
        <w:spacing w:after="0" w:line="260" w:lineRule="auto"/>
        <w:rPr>
          <w:szCs w:val="20"/>
          <w:lang w:eastAsia="zh-CN"/>
        </w:rPr>
      </w:pPr>
    </w:p>
    <w:p>
      <w:pPr>
        <w:spacing w:after="0" w:line="260" w:lineRule="auto"/>
        <w:rPr>
          <w:szCs w:val="22"/>
          <w:highlight w:val="green"/>
          <w:lang w:eastAsia="ko-KR"/>
        </w:rPr>
      </w:pPr>
      <w:r>
        <w:rPr>
          <w:szCs w:val="22"/>
          <w:highlight w:val="green"/>
          <w:lang w:eastAsia="ko-KR"/>
        </w:rPr>
        <w:t>Agreement</w:t>
      </w:r>
    </w:p>
    <w:p>
      <w:pPr>
        <w:spacing w:after="0" w:line="260" w:lineRule="auto"/>
        <w:ind w:left="258" w:hanging="258" w:hangingChars="129"/>
        <w:rPr>
          <w:rFonts w:eastAsia="Malgun Gothic"/>
          <w:lang w:val="en-US" w:eastAsia="ko-KR"/>
        </w:rPr>
      </w:pPr>
      <w:r>
        <w:rPr>
          <w:rFonts w:eastAsia="Malgun Gothic"/>
          <w:lang w:val="en-US" w:eastAsia="ko-KR"/>
        </w:rPr>
        <w:t>For</w:t>
      </w:r>
      <w:r>
        <w:rPr>
          <w:rFonts w:hint="eastAsia" w:eastAsia="Malgun Gothic"/>
          <w:lang w:val="en-US" w:eastAsia="ko-KR"/>
        </w:rPr>
        <w:t xml:space="preserve"> </w:t>
      </w:r>
      <w:r>
        <w:rPr>
          <w:rFonts w:eastAsia="Malgun Gothic"/>
          <w:lang w:val="en-US" w:eastAsia="ko-KR"/>
        </w:rPr>
        <w:t>measurement resource for RSSI measurement is configured by</w:t>
      </w:r>
    </w:p>
    <w:p>
      <w:pPr>
        <w:pStyle w:val="127"/>
        <w:numPr>
          <w:ilvl w:val="0"/>
          <w:numId w:val="13"/>
        </w:numPr>
        <w:overflowPunct/>
        <w:autoSpaceDE/>
        <w:autoSpaceDN/>
        <w:adjustRightInd/>
        <w:spacing w:after="0" w:line="260" w:lineRule="auto"/>
        <w:ind w:left="720"/>
        <w:contextualSpacing w:val="0"/>
        <w:textAlignment w:val="auto"/>
        <w:rPr>
          <w:color w:val="000000"/>
          <w:szCs w:val="21"/>
          <w:lang w:eastAsia="zh-CN"/>
        </w:rPr>
      </w:pPr>
      <w:r>
        <w:rPr>
          <w:color w:val="000000"/>
          <w:szCs w:val="21"/>
          <w:lang w:eastAsia="zh-CN"/>
        </w:rPr>
        <w:t>Symbol-level indication (e.g. starting OS and ending OS) and PRB level indication (e.g., starting PRB and ending PRB) within downlink active BWP</w:t>
      </w:r>
    </w:p>
    <w:p>
      <w:pPr>
        <w:spacing w:after="0" w:line="260" w:lineRule="auto"/>
        <w:rPr>
          <w:lang w:eastAsia="zh-CN"/>
        </w:rPr>
      </w:pPr>
    </w:p>
    <w:p>
      <w:pPr>
        <w:spacing w:after="0" w:line="260" w:lineRule="auto"/>
        <w:ind w:left="258" w:hanging="258" w:hangingChars="129"/>
        <w:rPr>
          <w:rFonts w:eastAsia="Malgun Gothic"/>
          <w:szCs w:val="22"/>
          <w:highlight w:val="green"/>
          <w:lang w:val="en-US" w:eastAsia="ko-KR"/>
        </w:rPr>
      </w:pPr>
      <w:r>
        <w:rPr>
          <w:rFonts w:eastAsia="Malgun Gothic"/>
          <w:szCs w:val="22"/>
          <w:highlight w:val="green"/>
          <w:lang w:val="en-US" w:eastAsia="ko-KR"/>
        </w:rPr>
        <w:t>Agreement</w:t>
      </w:r>
    </w:p>
    <w:p>
      <w:pPr>
        <w:spacing w:after="0" w:line="260" w:lineRule="auto"/>
        <w:ind w:left="258" w:hanging="258" w:hangingChars="129"/>
        <w:rPr>
          <w:rFonts w:eastAsia="Malgun Gothic"/>
          <w:szCs w:val="22"/>
          <w:lang w:val="en-US" w:eastAsia="ko-KR"/>
        </w:rPr>
      </w:pPr>
      <w:r>
        <w:rPr>
          <w:rFonts w:hint="eastAsia" w:eastAsia="Malgun Gothic"/>
          <w:szCs w:val="22"/>
          <w:lang w:val="en-US" w:eastAsia="ko-KR"/>
        </w:rPr>
        <w:t xml:space="preserve">For </w:t>
      </w:r>
      <w:r>
        <w:rPr>
          <w:rFonts w:eastAsia="Malgun Gothic"/>
          <w:szCs w:val="22"/>
          <w:lang w:val="en-US" w:eastAsia="ko-KR"/>
        </w:rPr>
        <w:t>SRS-RSRP measurement report,</w:t>
      </w:r>
      <w:r>
        <w:rPr>
          <w:rFonts w:ascii="Times New Roman" w:hAnsi="Times New Roman" w:eastAsia="Malgun Gothic"/>
          <w:szCs w:val="22"/>
        </w:rPr>
        <w:t xml:space="preserve"> L3 measurement reporting is applied</w:t>
      </w:r>
    </w:p>
    <w:p>
      <w:pPr>
        <w:spacing w:after="0" w:line="260" w:lineRule="auto"/>
        <w:rPr>
          <w:rFonts w:ascii="Times New Roman" w:hAnsi="Times New Roman"/>
          <w:szCs w:val="20"/>
          <w:highlight w:val="green"/>
          <w:lang w:eastAsia="ko-KR"/>
        </w:rPr>
      </w:pPr>
    </w:p>
    <w:p>
      <w:pPr>
        <w:spacing w:after="0" w:line="260" w:lineRule="auto"/>
        <w:rPr>
          <w:rFonts w:ascii="Times New Roman" w:hAnsi="Times New Roman"/>
          <w:szCs w:val="20"/>
          <w:highlight w:val="green"/>
          <w:lang w:eastAsia="ko-KR"/>
        </w:rPr>
      </w:pPr>
      <w:r>
        <w:rPr>
          <w:rFonts w:ascii="Times New Roman" w:hAnsi="Times New Roman"/>
          <w:szCs w:val="20"/>
          <w:highlight w:val="green"/>
          <w:lang w:eastAsia="ko-KR"/>
        </w:rPr>
        <w:t>Agreement</w:t>
      </w:r>
    </w:p>
    <w:p>
      <w:pPr>
        <w:spacing w:after="0" w:line="260" w:lineRule="auto"/>
        <w:ind w:left="258" w:hanging="258" w:hangingChars="129"/>
        <w:rPr>
          <w:rFonts w:ascii="Times New Roman" w:hAnsi="Times New Roman" w:eastAsia="Malgun Gothic"/>
          <w:szCs w:val="20"/>
          <w:highlight w:val="none"/>
          <w:lang w:val="en-US" w:eastAsia="ko-KR"/>
        </w:rPr>
      </w:pPr>
      <w:r>
        <w:rPr>
          <w:rFonts w:ascii="Times New Roman" w:hAnsi="Times New Roman" w:eastAsia="Malgun Gothic"/>
          <w:szCs w:val="20"/>
          <w:highlight w:val="none"/>
          <w:lang w:val="en-US" w:eastAsia="ko-KR"/>
        </w:rPr>
        <w:t xml:space="preserve">For CLI-RSSI, </w:t>
      </w:r>
      <w:r>
        <w:rPr>
          <w:rFonts w:ascii="Times New Roman" w:hAnsi="Times New Roman" w:eastAsia="Malgun Gothic"/>
          <w:szCs w:val="20"/>
          <w:highlight w:val="none"/>
        </w:rPr>
        <w:t>L3 measurement reporting is applied</w:t>
      </w:r>
    </w:p>
    <w:p>
      <w:pPr>
        <w:pStyle w:val="127"/>
        <w:numPr>
          <w:ilvl w:val="0"/>
          <w:numId w:val="13"/>
        </w:numPr>
        <w:overflowPunct/>
        <w:autoSpaceDE/>
        <w:autoSpaceDN/>
        <w:adjustRightInd/>
        <w:spacing w:after="0" w:line="260" w:lineRule="auto"/>
        <w:ind w:left="720"/>
        <w:contextualSpacing w:val="0"/>
        <w:textAlignment w:val="auto"/>
        <w:rPr>
          <w:color w:val="000000"/>
          <w:szCs w:val="21"/>
          <w:highlight w:val="none"/>
          <w:lang w:eastAsia="zh-CN"/>
        </w:rPr>
      </w:pPr>
      <w:r>
        <w:rPr>
          <w:color w:val="000000"/>
          <w:szCs w:val="21"/>
          <w:highlight w:val="none"/>
          <w:lang w:eastAsia="zh-CN"/>
        </w:rPr>
        <w:t>FFS: Whether SRS-RSRP measurement report and CLI-RSSI measurement report can be configured together for a UE</w:t>
      </w:r>
    </w:p>
    <w:p>
      <w:pPr>
        <w:pStyle w:val="127"/>
        <w:numPr>
          <w:ilvl w:val="1"/>
          <w:numId w:val="13"/>
        </w:numPr>
        <w:overflowPunct/>
        <w:autoSpaceDE/>
        <w:autoSpaceDN/>
        <w:adjustRightInd/>
        <w:spacing w:after="0" w:line="260" w:lineRule="auto"/>
        <w:ind w:left="1440"/>
        <w:contextualSpacing w:val="0"/>
        <w:textAlignment w:val="auto"/>
        <w:rPr>
          <w:color w:val="000000"/>
          <w:szCs w:val="21"/>
          <w:highlight w:val="none"/>
          <w:lang w:eastAsia="zh-CN"/>
        </w:rPr>
      </w:pPr>
      <w:r>
        <w:rPr>
          <w:color w:val="000000"/>
          <w:szCs w:val="21"/>
          <w:highlight w:val="none"/>
          <w:lang w:eastAsia="zh-CN"/>
        </w:rPr>
        <w:t>Whether UE should be required to perform SRS-RSRP measurement and CLI-RSSI measurement simultaneously</w:t>
      </w:r>
    </w:p>
    <w:p>
      <w:pPr>
        <w:spacing w:after="0" w:line="260" w:lineRule="auto"/>
      </w:pPr>
    </w:p>
    <w:p>
      <w:pPr>
        <w:spacing w:after="0" w:line="260" w:lineRule="auto"/>
        <w:rPr>
          <w:rFonts w:ascii="Times New Roman" w:hAnsi="Times New Roman"/>
          <w:szCs w:val="20"/>
          <w:highlight w:val="green"/>
          <w:lang w:eastAsia="ko-KR"/>
        </w:rPr>
      </w:pPr>
      <w:r>
        <w:rPr>
          <w:rFonts w:ascii="Times New Roman" w:hAnsi="Times New Roman"/>
          <w:szCs w:val="20"/>
          <w:highlight w:val="green"/>
          <w:lang w:eastAsia="ko-KR"/>
        </w:rPr>
        <w:t>Agreement</w:t>
      </w:r>
    </w:p>
    <w:p>
      <w:pPr>
        <w:spacing w:after="0" w:line="260" w:lineRule="auto"/>
        <w:rPr>
          <w:rFonts w:eastAsia="Malgun Gothic"/>
          <w:szCs w:val="22"/>
          <w:highlight w:val="none"/>
          <w:lang w:val="en-US" w:eastAsia="ko-KR"/>
        </w:rPr>
      </w:pPr>
      <w:r>
        <w:rPr>
          <w:rFonts w:eastAsia="Malgun Gothic"/>
          <w:szCs w:val="22"/>
          <w:highlight w:val="none"/>
          <w:lang w:eastAsia="ko-KR"/>
        </w:rPr>
        <w:t>For</w:t>
      </w:r>
      <w:r>
        <w:rPr>
          <w:rFonts w:eastAsia="Malgun Gothic"/>
          <w:szCs w:val="22"/>
          <w:highlight w:val="none"/>
          <w:lang w:val="en-US" w:eastAsia="ko-KR"/>
        </w:rPr>
        <w:t xml:space="preserve"> L3 measurement reporting of RSSI/SRS-RSRP, the specification detail on the reporting and </w:t>
      </w:r>
      <w:r>
        <w:rPr>
          <w:rFonts w:eastAsia="Malgun Gothic"/>
          <w:szCs w:val="22"/>
          <w:highlight w:val="none"/>
          <w:lang w:eastAsia="ko-KR"/>
        </w:rPr>
        <w:t>triggering</w:t>
      </w:r>
      <w:r>
        <w:rPr>
          <w:rFonts w:eastAsia="Malgun Gothic"/>
          <w:szCs w:val="22"/>
          <w:highlight w:val="none"/>
          <w:lang w:val="en-US" w:eastAsia="ko-KR"/>
        </w:rPr>
        <w:t xml:space="preserve"> mechanism is discussed in RAN2</w:t>
      </w:r>
    </w:p>
    <w:p>
      <w:pPr>
        <w:numPr>
          <w:ilvl w:val="0"/>
          <w:numId w:val="14"/>
        </w:numPr>
        <w:spacing w:after="0" w:line="260" w:lineRule="auto"/>
        <w:rPr>
          <w:rFonts w:eastAsia="Malgun Gothic"/>
          <w:szCs w:val="22"/>
          <w:highlight w:val="none"/>
          <w:lang w:eastAsia="ko-KR"/>
        </w:rPr>
      </w:pPr>
      <w:r>
        <w:rPr>
          <w:rFonts w:eastAsia="Malgun Gothic"/>
          <w:szCs w:val="22"/>
          <w:highlight w:val="none"/>
          <w:lang w:eastAsia="ko-KR"/>
        </w:rPr>
        <w:t>Send an LS to RAN2 (LGE, Hyunsoo)</w:t>
      </w:r>
    </w:p>
    <w:p>
      <w:pPr>
        <w:spacing w:after="0" w:line="260" w:lineRule="auto"/>
        <w:rPr>
          <w:lang w:eastAsia="zh-CN"/>
        </w:rPr>
      </w:pPr>
    </w:p>
    <w:p>
      <w:pPr>
        <w:spacing w:after="0" w:line="260" w:lineRule="auto"/>
        <w:ind w:left="258" w:hanging="258" w:hangingChars="129"/>
        <w:rPr>
          <w:rFonts w:eastAsia="Malgun Gothic"/>
          <w:szCs w:val="22"/>
          <w:highlight w:val="green"/>
          <w:lang w:val="en-US" w:eastAsia="ko-KR"/>
        </w:rPr>
      </w:pPr>
      <w:r>
        <w:rPr>
          <w:rFonts w:eastAsia="Malgun Gothic"/>
          <w:szCs w:val="22"/>
          <w:highlight w:val="green"/>
          <w:lang w:val="en-US" w:eastAsia="ko-KR"/>
        </w:rPr>
        <w:t>Agreement</w:t>
      </w:r>
    </w:p>
    <w:p>
      <w:pPr>
        <w:spacing w:after="0" w:line="260" w:lineRule="auto"/>
        <w:rPr>
          <w:rFonts w:eastAsia="Malgun Gothic"/>
          <w:szCs w:val="22"/>
          <w:highlight w:val="none"/>
          <w:lang w:val="en-US" w:eastAsia="ko-KR"/>
        </w:rPr>
      </w:pPr>
      <w:r>
        <w:rPr>
          <w:rFonts w:eastAsia="Malgun Gothic"/>
          <w:szCs w:val="22"/>
          <w:highlight w:val="none"/>
          <w:lang w:val="en-US" w:eastAsia="ko-KR"/>
        </w:rPr>
        <w:t xml:space="preserve">From a </w:t>
      </w:r>
      <w:r>
        <w:rPr>
          <w:rFonts w:hint="eastAsia" w:eastAsia="Malgun Gothic"/>
          <w:szCs w:val="22"/>
          <w:highlight w:val="none"/>
          <w:lang w:val="en-US" w:eastAsia="ko-KR"/>
        </w:rPr>
        <w:t>spec</w:t>
      </w:r>
      <w:r>
        <w:rPr>
          <w:rFonts w:eastAsia="Malgun Gothic"/>
          <w:szCs w:val="22"/>
          <w:highlight w:val="none"/>
          <w:lang w:val="en-US" w:eastAsia="ko-KR"/>
        </w:rPr>
        <w:t>ification</w:t>
      </w:r>
      <w:r>
        <w:rPr>
          <w:rFonts w:hint="eastAsia" w:eastAsia="Malgun Gothic"/>
          <w:szCs w:val="22"/>
          <w:highlight w:val="none"/>
          <w:lang w:val="en-US" w:eastAsia="ko-KR"/>
        </w:rPr>
        <w:t xml:space="preserve"> pe</w:t>
      </w:r>
      <w:r>
        <w:rPr>
          <w:rFonts w:eastAsia="Malgun Gothic"/>
          <w:szCs w:val="22"/>
          <w:highlight w:val="none"/>
          <w:lang w:val="en-US" w:eastAsia="ko-KR"/>
        </w:rPr>
        <w:t>r</w:t>
      </w:r>
      <w:r>
        <w:rPr>
          <w:rFonts w:hint="eastAsia" w:eastAsia="Malgun Gothic"/>
          <w:szCs w:val="22"/>
          <w:highlight w:val="none"/>
          <w:lang w:val="en-US" w:eastAsia="ko-KR"/>
        </w:rPr>
        <w:t xml:space="preserve">spective, </w:t>
      </w:r>
      <w:r>
        <w:rPr>
          <w:rFonts w:eastAsia="Malgun Gothic"/>
          <w:szCs w:val="22"/>
          <w:highlight w:val="none"/>
          <w:lang w:val="en-US" w:eastAsia="ko-KR"/>
        </w:rPr>
        <w:t>the measurement/report configuration of CLI-RSSI and SRS-RSRP are independent.</w:t>
      </w:r>
    </w:p>
    <w:p>
      <w:pPr>
        <w:spacing w:after="0" w:line="260" w:lineRule="auto"/>
        <w:rPr>
          <w:rFonts w:eastAsia="Malgun Gothic"/>
          <w:szCs w:val="22"/>
          <w:highlight w:val="none"/>
          <w:lang w:val="en-US" w:eastAsia="ko-KR"/>
        </w:rPr>
      </w:pPr>
      <w:r>
        <w:rPr>
          <w:rFonts w:eastAsia="Malgun Gothic"/>
          <w:szCs w:val="22"/>
          <w:highlight w:val="none"/>
          <w:lang w:val="en-US" w:eastAsia="ko-KR"/>
        </w:rPr>
        <w:t>FFS: UE capability discussion</w:t>
      </w:r>
    </w:p>
    <w:p>
      <w:pPr>
        <w:numPr>
          <w:ilvl w:val="-1"/>
          <w:numId w:val="0"/>
        </w:numPr>
        <w:tabs>
          <w:tab w:val="left" w:pos="720"/>
        </w:tabs>
        <w:spacing w:after="0" w:afterAutospacing="0"/>
        <w:ind w:left="0" w:firstLine="0"/>
        <w:rPr>
          <w:rFonts w:eastAsiaTheme="minorEastAsia"/>
          <w:bCs/>
          <w:sz w:val="20"/>
          <w:szCs w:val="20"/>
          <w:lang w:val="en-US" w:eastAsia="zh-CN"/>
        </w:rPr>
      </w:pPr>
    </w:p>
    <w:p>
      <w:pPr>
        <w:keepNext w:val="0"/>
        <w:keepLines w:val="0"/>
        <w:pageBreakBefore w:val="0"/>
        <w:widowControl w:val="0"/>
        <w:kinsoku/>
        <w:wordWrap/>
        <w:overflowPunct/>
        <w:topLinePunct w:val="0"/>
        <w:autoSpaceDE w:val="0"/>
        <w:autoSpaceDN w:val="0"/>
        <w:bidi w:val="0"/>
        <w:adjustRightInd w:val="0"/>
        <w:snapToGrid/>
        <w:spacing w:before="0" w:line="260" w:lineRule="auto"/>
        <w:jc w:val="both"/>
        <w:textAlignment w:val="auto"/>
        <w:outlineLvl w:val="9"/>
        <w:rPr>
          <w:rFonts w:hint="default" w:eastAsiaTheme="minorEastAsia"/>
          <w:sz w:val="20"/>
          <w:szCs w:val="20"/>
          <w:lang w:val="en-US" w:eastAsia="zh-CN"/>
        </w:rPr>
      </w:pPr>
      <w:r>
        <w:rPr>
          <w:rFonts w:hint="eastAsia" w:eastAsiaTheme="minorEastAsia"/>
          <w:sz w:val="20"/>
          <w:szCs w:val="20"/>
          <w:lang w:val="en-US" w:eastAsia="zh-CN"/>
        </w:rPr>
        <w:t>In this contribution, we will show our views for remaining issues of UE-to-UE measurement and reporting for CLI mitigation.</w:t>
      </w:r>
    </w:p>
    <w:p>
      <w:pPr>
        <w:pStyle w:val="2"/>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Discussion on </w:t>
      </w:r>
      <w:r>
        <w:rPr>
          <w:rFonts w:hint="eastAsia" w:eastAsia="宋体" w:cs="Arial"/>
          <w:b/>
          <w:sz w:val="28"/>
          <w:szCs w:val="28"/>
          <w:lang w:val="en-US" w:eastAsia="zh-CN"/>
        </w:rPr>
        <w:t>CLI</w:t>
      </w:r>
      <w:r>
        <w:rPr>
          <w:rFonts w:hint="eastAsia" w:ascii="Arial" w:hAnsi="Arial" w:eastAsia="宋体" w:cs="Arial"/>
          <w:b/>
          <w:sz w:val="28"/>
          <w:szCs w:val="28"/>
          <w:lang w:val="en-US" w:eastAsia="zh-CN"/>
        </w:rPr>
        <w:t xml:space="preserve"> measurement</w:t>
      </w:r>
      <w:r>
        <w:rPr>
          <w:rFonts w:hint="eastAsia" w:eastAsia="宋体" w:cs="Arial"/>
          <w:b/>
          <w:sz w:val="28"/>
          <w:szCs w:val="28"/>
          <w:lang w:val="en-US" w:eastAsia="zh-CN"/>
        </w:rPr>
        <w:t xml:space="preserve"> and reporting</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In NR</w:t>
      </w:r>
      <w:r>
        <w:rPr>
          <w:rFonts w:hint="eastAsia" w:cs="Times New Roman"/>
          <w:sz w:val="20"/>
          <w:szCs w:val="20"/>
          <w:lang w:val="en-US" w:eastAsia="zh-CN"/>
        </w:rPr>
        <w:t xml:space="preserve"> Rel-15</w:t>
      </w:r>
      <w:r>
        <w:rPr>
          <w:rFonts w:hint="eastAsia" w:ascii="Times New Roman" w:hAnsi="Times New Roman" w:eastAsia="Times New Roman" w:cs="Times New Roman"/>
          <w:sz w:val="20"/>
          <w:szCs w:val="20"/>
          <w:lang w:val="en-US" w:eastAsia="zh-CN"/>
        </w:rPr>
        <w:t xml:space="preserve">, </w:t>
      </w:r>
      <w:r>
        <w:rPr>
          <w:rFonts w:hint="eastAsia" w:cs="Times New Roman"/>
          <w:sz w:val="20"/>
          <w:szCs w:val="20"/>
          <w:lang w:val="en-US" w:eastAsia="zh-CN"/>
        </w:rPr>
        <w:t xml:space="preserve">both </w:t>
      </w:r>
      <w:r>
        <w:rPr>
          <w:rFonts w:hint="eastAsia" w:ascii="Times New Roman" w:hAnsi="Times New Roman" w:eastAsia="Times New Roman" w:cs="Times New Roman"/>
          <w:sz w:val="20"/>
          <w:szCs w:val="20"/>
          <w:lang w:val="en-US" w:eastAsia="zh-CN"/>
        </w:rPr>
        <w:t>periodic, aperiodic and semi-persistent have been supported for NR SRS transmission. While for</w:t>
      </w:r>
      <w:r>
        <w:rPr>
          <w:rFonts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highlight w:val="none"/>
          <w:lang w:val="en-US" w:eastAsia="zh-CN"/>
        </w:rPr>
        <w:t>SRS</w:t>
      </w:r>
      <w:r>
        <w:rPr>
          <w:rFonts w:hint="eastAsia" w:ascii="Times New Roman" w:hAnsi="Times New Roman" w:eastAsia="Times New Roman" w:cs="Times New Roman"/>
          <w:sz w:val="20"/>
          <w:szCs w:val="20"/>
          <w:highlight w:val="none"/>
          <w:lang w:val="en-US" w:eastAsia="zh-CN"/>
        </w:rPr>
        <w:t xml:space="preserve">-RSRP </w:t>
      </w:r>
      <w:r>
        <w:rPr>
          <w:rFonts w:ascii="Times New Roman" w:hAnsi="Times New Roman" w:eastAsia="Times New Roman" w:cs="Times New Roman"/>
          <w:sz w:val="20"/>
          <w:szCs w:val="20"/>
          <w:highlight w:val="none"/>
          <w:lang w:val="en-US" w:eastAsia="zh-CN"/>
        </w:rPr>
        <w:t>CLI measurement</w:t>
      </w:r>
      <w:r>
        <w:rPr>
          <w:rFonts w:hint="eastAsia" w:ascii="Times New Roman" w:hAnsi="Times New Roman" w:eastAsia="Times New Roman" w:cs="Times New Roman"/>
          <w:sz w:val="20"/>
          <w:szCs w:val="20"/>
          <w:highlight w:val="none"/>
          <w:lang w:val="en-US" w:eastAsia="zh-CN"/>
        </w:rPr>
        <w:t>, it is expected that periodic</w:t>
      </w:r>
      <w:r>
        <w:rPr>
          <w:rFonts w:hint="eastAsia" w:cs="Times New Roman"/>
          <w:sz w:val="20"/>
          <w:szCs w:val="20"/>
          <w:highlight w:val="none"/>
          <w:lang w:val="en-US" w:eastAsia="zh-CN"/>
        </w:rPr>
        <w:t>/semi-persistent</w:t>
      </w:r>
      <w:r>
        <w:rPr>
          <w:rFonts w:hint="eastAsia" w:ascii="Times New Roman" w:hAnsi="Times New Roman" w:eastAsia="Times New Roman" w:cs="Times New Roman"/>
          <w:sz w:val="20"/>
          <w:szCs w:val="20"/>
          <w:highlight w:val="none"/>
          <w:lang w:val="en-US" w:eastAsia="zh-CN"/>
        </w:rPr>
        <w:t xml:space="preserve"> SRS </w:t>
      </w:r>
      <w:r>
        <w:rPr>
          <w:rFonts w:ascii="Times New Roman" w:hAnsi="Times New Roman" w:eastAsia="Times New Roman" w:cs="Times New Roman"/>
          <w:sz w:val="20"/>
          <w:szCs w:val="20"/>
          <w:highlight w:val="none"/>
          <w:lang w:val="en-US" w:eastAsia="zh-CN"/>
        </w:rPr>
        <w:t xml:space="preserve">transmission </w:t>
      </w:r>
      <w:r>
        <w:rPr>
          <w:rFonts w:hint="eastAsia" w:cs="Times New Roman"/>
          <w:sz w:val="20"/>
          <w:szCs w:val="20"/>
          <w:highlight w:val="none"/>
          <w:lang w:val="en-US" w:eastAsia="zh-CN"/>
        </w:rPr>
        <w:t xml:space="preserve">can </w:t>
      </w:r>
      <w:r>
        <w:rPr>
          <w:rFonts w:hint="eastAsia" w:ascii="Times New Roman" w:hAnsi="Times New Roman" w:eastAsia="Times New Roman" w:cs="Times New Roman"/>
          <w:sz w:val="20"/>
          <w:szCs w:val="20"/>
          <w:highlight w:val="none"/>
          <w:lang w:val="en-US" w:eastAsia="zh-CN"/>
        </w:rPr>
        <w:t>be supported, but aperiodic SRS transmission is not preferred as it can not work well for UE-to-UE RSRP measurement. The period of SRS transmission should be configured to the UEs by the gNB and exchanged between the adjacent gNBs, considering</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val="en-US" w:eastAsia="zh-CN"/>
        </w:rPr>
        <w:t xml:space="preserve">the </w:t>
      </w:r>
      <w:r>
        <w:rPr>
          <w:rFonts w:hint="eastAsia" w:ascii="Times New Roman" w:hAnsi="Times New Roman" w:eastAsia="Times New Roman" w:cs="Times New Roman"/>
          <w:sz w:val="20"/>
          <w:szCs w:val="20"/>
          <w:lang w:val="en-US" w:eastAsia="zh-CN"/>
        </w:rPr>
        <w:t>different requirement</w:t>
      </w:r>
      <w:r>
        <w:rPr>
          <w:rFonts w:ascii="Times New Roman" w:hAnsi="Times New Roman" w:eastAsia="Times New Roman" w:cs="Times New Roman"/>
          <w:sz w:val="20"/>
          <w:szCs w:val="20"/>
          <w:lang w:val="en-US" w:eastAsia="zh-CN"/>
        </w:rPr>
        <w:t>s</w:t>
      </w:r>
      <w:r>
        <w:rPr>
          <w:rFonts w:hint="eastAsia" w:ascii="Times New Roman" w:hAnsi="Times New Roman" w:eastAsia="Times New Roman" w:cs="Times New Roman"/>
          <w:sz w:val="20"/>
          <w:szCs w:val="20"/>
          <w:lang w:val="en-US" w:eastAsia="zh-CN"/>
        </w:rPr>
        <w:t xml:space="preserve"> </w:t>
      </w:r>
      <w:r>
        <w:rPr>
          <w:rFonts w:ascii="Times New Roman" w:hAnsi="Times New Roman" w:eastAsia="Times New Roman" w:cs="Times New Roman"/>
          <w:sz w:val="20"/>
          <w:szCs w:val="20"/>
          <w:lang w:val="en-US" w:eastAsia="zh-CN"/>
        </w:rPr>
        <w:t>for</w:t>
      </w:r>
      <w:r>
        <w:rPr>
          <w:rFonts w:hint="eastAsia" w:ascii="Times New Roman" w:hAnsi="Times New Roman" w:eastAsia="Times New Roman" w:cs="Times New Roman"/>
          <w:sz w:val="20"/>
          <w:szCs w:val="20"/>
          <w:lang w:val="en-US" w:eastAsia="zh-CN"/>
        </w:rPr>
        <w:t xml:space="preserve"> measurement accuracy and SRS transmission/detection overhead.</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Transmission timing</w:t>
      </w:r>
    </w:p>
    <w:p>
      <w:pPr>
        <w:pageBreakBefore w:val="0"/>
        <w:kinsoku/>
        <w:wordWrap/>
        <w:overflowPunct/>
        <w:topLinePunct w:val="0"/>
        <w:autoSpaceDE/>
        <w:autoSpaceDN/>
        <w:bidi w:val="0"/>
        <w:adjustRightInd/>
        <w:snapToGrid/>
        <w:spacing w:after="180" w:line="260" w:lineRule="auto"/>
        <w:jc w:val="both"/>
        <w:textAlignment w:val="auto"/>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 xml:space="preserve">Assuming two cells synchronization, if the transmission timing of SRS for CLI measurement is the same as the transmission timing of PUSCH for the same UE in one cell, then the timing misalignment between desired signal and received measurement SRS will certainly exist for the measurement UE in adjacent cell. The timing misalignment will increase the difficulty and complexity of CLI measurement and weakens the performance of flexible resource adaptation. </w:t>
      </w:r>
    </w:p>
    <w:p>
      <w:pPr>
        <w:pageBreakBefore w:val="0"/>
        <w:kinsoku/>
        <w:wordWrap/>
        <w:overflowPunct/>
        <w:topLinePunct w:val="0"/>
        <w:autoSpaceDE/>
        <w:autoSpaceDN/>
        <w:bidi w:val="0"/>
        <w:adjustRightInd/>
        <w:snapToGrid/>
        <w:spacing w:after="180" w:line="260" w:lineRule="auto"/>
        <w:jc w:val="both"/>
        <w:textAlignment w:val="auto"/>
        <w:rPr>
          <w:rFonts w:hint="default"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 xml:space="preserve">In order to solve this issue, the transmission timing of SRS for CLI measurement should be adjusted independently. Thus, we propose that SRS for CLI measurement can have a different TA from PUSCH. If the distances between two UEs to their respective gNBs are </w:t>
      </w:r>
      <w:r>
        <w:rPr>
          <w:rFonts w:hint="eastAsia" w:cs="Times New Roman"/>
          <w:sz w:val="20"/>
          <w:szCs w:val="20"/>
          <w:lang w:val="en-US" w:eastAsia="zh-CN"/>
        </w:rPr>
        <w:t>approximate</w:t>
      </w:r>
      <w:r>
        <w:rPr>
          <w:rFonts w:hint="eastAsia" w:ascii="Times New Roman" w:hAnsi="Times New Roman" w:eastAsia="Times New Roman" w:cs="Times New Roman"/>
          <w:sz w:val="20"/>
          <w:szCs w:val="20"/>
          <w:lang w:val="en-US" w:eastAsia="zh-CN"/>
        </w:rPr>
        <w:t xml:space="preserve">, and the distance between two </w:t>
      </w:r>
      <w:r>
        <w:rPr>
          <w:rFonts w:hint="eastAsia" w:cs="Times New Roman"/>
          <w:sz w:val="20"/>
          <w:szCs w:val="20"/>
          <w:lang w:val="en-US" w:eastAsia="zh-CN"/>
        </w:rPr>
        <w:t xml:space="preserve">close </w:t>
      </w:r>
      <w:r>
        <w:rPr>
          <w:rFonts w:hint="eastAsia" w:ascii="Times New Roman" w:hAnsi="Times New Roman" w:eastAsia="Times New Roman" w:cs="Times New Roman"/>
          <w:sz w:val="20"/>
          <w:szCs w:val="20"/>
          <w:lang w:val="en-US" w:eastAsia="zh-CN"/>
        </w:rPr>
        <w:t xml:space="preserve">UEs can be neglected, zero TA can be applied for SRS transmission. However, NR supports adjacent cells with </w:t>
      </w:r>
      <w:r>
        <w:rPr>
          <w:rFonts w:hint="eastAsia" w:cs="Times New Roman"/>
          <w:sz w:val="20"/>
          <w:szCs w:val="20"/>
          <w:lang w:val="en-US" w:eastAsia="zh-CN"/>
        </w:rPr>
        <w:t xml:space="preserve">various </w:t>
      </w:r>
      <w:r>
        <w:rPr>
          <w:rFonts w:hint="eastAsia" w:ascii="Times New Roman" w:hAnsi="Times New Roman" w:eastAsia="Times New Roman" w:cs="Times New Roman"/>
          <w:sz w:val="20"/>
          <w:szCs w:val="20"/>
          <w:lang w:val="en-US" w:eastAsia="zh-CN"/>
        </w:rPr>
        <w:t>network types (e.g. macro cell, small cell, or pico cell) apply flexible resource adaptation simultaneously. In this case, us</w:t>
      </w:r>
      <w:r>
        <w:rPr>
          <w:rFonts w:hint="eastAsia" w:cs="Times New Roman"/>
          <w:sz w:val="20"/>
          <w:szCs w:val="20"/>
          <w:lang w:val="en-US" w:eastAsia="zh-CN"/>
        </w:rPr>
        <w:t>ing</w:t>
      </w:r>
      <w:r>
        <w:rPr>
          <w:rFonts w:hint="eastAsia" w:ascii="Times New Roman" w:hAnsi="Times New Roman" w:eastAsia="Times New Roman" w:cs="Times New Roman"/>
          <w:sz w:val="20"/>
          <w:szCs w:val="20"/>
          <w:lang w:val="en-US" w:eastAsia="zh-CN"/>
        </w:rPr>
        <w:t xml:space="preserve"> zero TA for SRS transmission is not accurate enough. Thus we think TA for SRS transmission can be configured by the network (zero, or decided by the propagation delays between two UEs to their respective gNBs and between two UEs).</w:t>
      </w:r>
    </w:p>
    <w:p>
      <w:pPr>
        <w:jc w:val="both"/>
        <w:rPr>
          <w:rFonts w:hint="eastAsia" w:ascii="Times New Roman" w:hAnsi="Times New Roman" w:eastAsia="宋体" w:cs="Times New Roman"/>
          <w:b/>
          <w:bCs/>
          <w:sz w:val="20"/>
          <w:szCs w:val="20"/>
          <w:highlight w:val="none"/>
          <w:lang w:val="en-US" w:eastAsia="zh-CN"/>
        </w:rPr>
      </w:pPr>
      <w:r>
        <w:rPr>
          <w:rFonts w:hint="eastAsia" w:ascii="Times New Roman" w:hAnsi="Times New Roman" w:eastAsia="宋体" w:cs="Times New Roman"/>
          <w:b/>
          <w:bCs/>
          <w:sz w:val="20"/>
          <w:szCs w:val="20"/>
          <w:highlight w:val="none"/>
          <w:lang w:val="en-US" w:eastAsia="zh-CN"/>
        </w:rPr>
        <w:t xml:space="preserve">Proposal </w:t>
      </w:r>
      <w:r>
        <w:rPr>
          <w:rFonts w:hint="eastAsia" w:eastAsia="宋体" w:cs="Times New Roman"/>
          <w:b/>
          <w:bCs/>
          <w:sz w:val="20"/>
          <w:szCs w:val="20"/>
          <w:highlight w:val="none"/>
          <w:lang w:val="en-US" w:eastAsia="zh-CN"/>
        </w:rPr>
        <w:t>1</w:t>
      </w:r>
      <w:r>
        <w:rPr>
          <w:rFonts w:hint="eastAsia" w:ascii="Times New Roman" w:hAnsi="Times New Roman" w:eastAsia="宋体" w:cs="Times New Roman"/>
          <w:b/>
          <w:bCs/>
          <w:sz w:val="20"/>
          <w:szCs w:val="20"/>
          <w:highlight w:val="none"/>
          <w:lang w:val="en-US" w:eastAsia="zh-CN"/>
        </w:rPr>
        <w:t xml:space="preserve">: </w:t>
      </w:r>
      <w:r>
        <w:rPr>
          <w:rFonts w:hint="eastAsia" w:ascii="Times New Roman" w:hAnsi="Times New Roman" w:eastAsia="宋体" w:cs="Times New Roman"/>
          <w:b w:val="0"/>
          <w:bCs w:val="0"/>
          <w:i/>
          <w:iCs/>
          <w:sz w:val="20"/>
          <w:szCs w:val="20"/>
          <w:highlight w:val="none"/>
          <w:lang w:val="en-US" w:eastAsia="zh-CN"/>
        </w:rPr>
        <w:t>Transmission timing advance of SRS for CLI measurement can be different from the transmission timing advance of  PUSCH</w:t>
      </w:r>
      <w:r>
        <w:rPr>
          <w:rFonts w:hint="eastAsia" w:ascii="Times New Roman" w:hAnsi="Times New Roman" w:eastAsia="宋体" w:cs="Times New Roman"/>
          <w:b/>
          <w:bCs/>
          <w:sz w:val="20"/>
          <w:szCs w:val="20"/>
          <w:highlight w:val="none"/>
          <w:lang w:val="en-US" w:eastAsia="zh-CN"/>
        </w:rPr>
        <w:t>.</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SRS transmission power</w:t>
      </w:r>
    </w:p>
    <w:p>
      <w:pPr>
        <w:keepNext w:val="0"/>
        <w:keepLines w:val="0"/>
        <w:pageBreakBefore w:val="0"/>
        <w:widowControl w:val="0"/>
        <w:kinsoku/>
        <w:wordWrap/>
        <w:overflowPunct/>
        <w:topLinePunct w:val="0"/>
        <w:autoSpaceDE/>
        <w:autoSpaceDN/>
        <w:bidi w:val="0"/>
        <w:adjustRightInd/>
        <w:snapToGrid/>
        <w:spacing w:after="60" w:line="260" w:lineRule="auto"/>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 xml:space="preserve">The dynamic power change of the SRS based on the </w:t>
      </w:r>
      <w:r>
        <w:rPr>
          <w:rFonts w:hint="eastAsia" w:cs="Times New Roman"/>
          <w:sz w:val="20"/>
          <w:szCs w:val="20"/>
          <w:lang w:val="en-US" w:eastAsia="zh-CN"/>
        </w:rPr>
        <w:t xml:space="preserve">existing </w:t>
      </w:r>
      <w:r>
        <w:rPr>
          <w:rFonts w:hint="eastAsia" w:ascii="Times New Roman" w:hAnsi="Times New Roman" w:eastAsia="Times New Roman" w:cs="Times New Roman"/>
          <w:sz w:val="20"/>
          <w:szCs w:val="20"/>
          <w:lang w:val="en-US" w:eastAsia="zh-CN"/>
        </w:rPr>
        <w:t xml:space="preserve">UL power control (PC) algorithm will increase the complexity of SRS-RSRP based CLI measurement. Thus, we need to define two types of SRS power setting for 1) UL/DL CSI measurement and 2) UE-to-UE CLI measurement as follows: </w:t>
      </w:r>
    </w:p>
    <w:p>
      <w:pPr>
        <w:keepNext w:val="0"/>
        <w:keepLines w:val="0"/>
        <w:pageBreakBefore w:val="0"/>
        <w:widowControl w:val="0"/>
        <w:numPr>
          <w:ilvl w:val="0"/>
          <w:numId w:val="15"/>
        </w:numPr>
        <w:kinsoku/>
        <w:wordWrap/>
        <w:overflowPunct/>
        <w:topLinePunct w:val="0"/>
        <w:autoSpaceDE/>
        <w:autoSpaceDN/>
        <w:bidi w:val="0"/>
        <w:adjustRightInd/>
        <w:snapToGrid/>
        <w:spacing w:after="60" w:line="260" w:lineRule="auto"/>
        <w:ind w:left="839" w:leftChars="0" w:hanging="420" w:firstLineChars="0"/>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SRS for UL/DL CSI measurement: SRS based on the power of which is controlled by the UL PC algorithm, similar to PUSCH, which has been already standardized in the existing specification.</w:t>
      </w:r>
    </w:p>
    <w:p>
      <w:pPr>
        <w:pageBreakBefore w:val="0"/>
        <w:widowControl w:val="0"/>
        <w:numPr>
          <w:ilvl w:val="0"/>
          <w:numId w:val="15"/>
        </w:numPr>
        <w:kinsoku/>
        <w:wordWrap/>
        <w:overflowPunct/>
        <w:topLinePunct w:val="0"/>
        <w:autoSpaceDE/>
        <w:autoSpaceDN/>
        <w:bidi w:val="0"/>
        <w:adjustRightInd/>
        <w:snapToGrid/>
        <w:spacing w:after="180" w:line="260" w:lineRule="auto"/>
        <w:ind w:left="840" w:leftChars="0" w:hanging="420" w:firstLineChars="0"/>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 xml:space="preserve">SRS for UE-to-UE CLI measurement: SRS based on a constant or semi-static configured power setting, until a new configured power value is received. </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For the UE-to-UE SRS-RSRP CLI measurement, UE assumes that the power of SRS remains constant unless a new power value is received.</w:t>
      </w:r>
    </w:p>
    <w:p>
      <w:pPr>
        <w:jc w:val="both"/>
        <w:rPr>
          <w:rFonts w:hint="default" w:ascii="Times New Roman" w:hAnsi="Times New Roman" w:eastAsia="宋体" w:cs="Times New Roman"/>
          <w:b w:val="0"/>
          <w:bCs w:val="0"/>
          <w:sz w:val="20"/>
          <w:szCs w:val="20"/>
          <w:highlight w:val="none"/>
          <w:lang w:val="en-US" w:eastAsia="zh-CN"/>
        </w:rPr>
      </w:pPr>
      <w:r>
        <w:rPr>
          <w:rFonts w:hint="eastAsia" w:ascii="Times New Roman" w:hAnsi="Times New Roman" w:eastAsia="宋体" w:cs="Times New Roman"/>
          <w:b/>
          <w:bCs/>
          <w:sz w:val="20"/>
          <w:szCs w:val="20"/>
          <w:highlight w:val="none"/>
          <w:lang w:val="en-US" w:eastAsia="zh-CN"/>
        </w:rPr>
        <w:t xml:space="preserve">Proposal </w:t>
      </w:r>
      <w:r>
        <w:rPr>
          <w:rFonts w:hint="eastAsia" w:eastAsia="宋体" w:cs="Times New Roman"/>
          <w:b/>
          <w:bCs/>
          <w:sz w:val="20"/>
          <w:szCs w:val="20"/>
          <w:highlight w:val="none"/>
          <w:lang w:val="en-US" w:eastAsia="zh-CN"/>
        </w:rPr>
        <w:t>2</w:t>
      </w:r>
      <w:r>
        <w:rPr>
          <w:rFonts w:hint="eastAsia" w:ascii="Times New Roman" w:hAnsi="Times New Roman" w:eastAsia="宋体" w:cs="Times New Roman"/>
          <w:b/>
          <w:bCs/>
          <w:sz w:val="20"/>
          <w:szCs w:val="20"/>
          <w:highlight w:val="none"/>
          <w:lang w:val="en-US" w:eastAsia="zh-CN"/>
        </w:rPr>
        <w:t xml:space="preserve">: </w:t>
      </w:r>
      <w:r>
        <w:rPr>
          <w:rFonts w:hint="eastAsia" w:ascii="Times New Roman" w:hAnsi="Times New Roman" w:eastAsia="宋体" w:cs="Times New Roman"/>
          <w:b w:val="0"/>
          <w:bCs w:val="0"/>
          <w:i/>
          <w:iCs/>
          <w:sz w:val="20"/>
          <w:szCs w:val="20"/>
          <w:highlight w:val="none"/>
          <w:lang w:val="en-US" w:eastAsia="zh-CN"/>
        </w:rPr>
        <w:t xml:space="preserve">For SRS-RSRP CLI measurement, </w:t>
      </w:r>
      <w:r>
        <w:rPr>
          <w:rFonts w:hint="eastAsia" w:ascii="Times New Roman" w:hAnsi="Times New Roman" w:eastAsia="Times New Roman" w:cs="Times New Roman"/>
          <w:i/>
          <w:iCs/>
          <w:sz w:val="20"/>
          <w:szCs w:val="20"/>
          <w:lang w:val="en-US" w:eastAsia="zh-CN"/>
        </w:rPr>
        <w:t>UE assumes that the power of SRS remains constant unless a new configured  power value is received.</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Rate-matching</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As agreed in last RAN1 meeting, measurement resource for SRS-RSRP measurement is configured by SRS resource configuration. </w:t>
      </w:r>
      <w:r>
        <w:rPr>
          <w:rFonts w:hint="eastAsia" w:ascii="Times New Roman" w:hAnsi="Times New Roman" w:eastAsia="Times New Roman" w:cs="Times New Roman"/>
          <w:sz w:val="20"/>
          <w:szCs w:val="20"/>
          <w:lang w:val="en-US" w:eastAsia="zh-CN"/>
        </w:rPr>
        <w:t xml:space="preserve">When </w:t>
      </w:r>
      <w:r>
        <w:rPr>
          <w:rFonts w:hint="eastAsia" w:cs="Times New Roman"/>
          <w:sz w:val="20"/>
          <w:szCs w:val="20"/>
          <w:lang w:val="en-US" w:eastAsia="zh-CN"/>
        </w:rPr>
        <w:t xml:space="preserve">a </w:t>
      </w:r>
      <w:r>
        <w:rPr>
          <w:rFonts w:hint="eastAsia" w:ascii="Times New Roman" w:hAnsi="Times New Roman" w:eastAsia="Times New Roman" w:cs="Times New Roman"/>
          <w:sz w:val="20"/>
          <w:szCs w:val="20"/>
          <w:lang w:val="en-US" w:eastAsia="zh-CN"/>
        </w:rPr>
        <w:t xml:space="preserve">UE performs SRS-RSRP based CLI measurement, the impact </w:t>
      </w:r>
      <w:r>
        <w:rPr>
          <w:rFonts w:hint="eastAsia" w:cs="Times New Roman"/>
          <w:sz w:val="20"/>
          <w:szCs w:val="20"/>
          <w:lang w:val="en-US" w:eastAsia="zh-CN"/>
        </w:rPr>
        <w:t xml:space="preserve">to </w:t>
      </w:r>
      <w:r>
        <w:rPr>
          <w:rFonts w:hint="eastAsia" w:ascii="Times New Roman" w:hAnsi="Times New Roman" w:eastAsia="Times New Roman" w:cs="Times New Roman"/>
          <w:sz w:val="20"/>
          <w:szCs w:val="20"/>
          <w:lang w:val="en-US" w:eastAsia="zh-CN"/>
        </w:rPr>
        <w:t xml:space="preserve">potential DL reception in </w:t>
      </w:r>
      <w:r>
        <w:rPr>
          <w:rFonts w:hint="eastAsia" w:cs="Times New Roman"/>
          <w:sz w:val="20"/>
          <w:szCs w:val="20"/>
          <w:lang w:val="en-US" w:eastAsia="zh-CN"/>
        </w:rPr>
        <w:t>SRS</w:t>
      </w:r>
      <w:r>
        <w:rPr>
          <w:rFonts w:hint="eastAsia" w:ascii="Times New Roman" w:hAnsi="Times New Roman" w:eastAsia="Times New Roman" w:cs="Times New Roman"/>
          <w:sz w:val="20"/>
          <w:szCs w:val="20"/>
          <w:lang w:val="en-US" w:eastAsia="zh-CN"/>
        </w:rPr>
        <w:t xml:space="preserve"> measurement resources should be eliminated. </w:t>
      </w:r>
      <w:r>
        <w:rPr>
          <w:rFonts w:hint="eastAsia" w:cs="Times New Roman"/>
          <w:sz w:val="20"/>
          <w:szCs w:val="20"/>
          <w:lang w:val="en-US" w:eastAsia="zh-CN"/>
        </w:rPr>
        <w:t xml:space="preserve">The most straightforward way is to define a ZP-SRS (zero-power SRS). The UE shall assume that the resource elements in ZP-SRS are not used for PDSCH transmission. The workload of defining ZP-SRS is not large since it can reuse resource configuration method of SRS. </w:t>
      </w:r>
    </w:p>
    <w:p>
      <w:pPr>
        <w:pageBreakBefore w:val="0"/>
        <w:widowControl w:val="0"/>
        <w:kinsoku/>
        <w:wordWrap/>
        <w:overflowPunct/>
        <w:topLinePunct w:val="0"/>
        <w:autoSpaceDE/>
        <w:autoSpaceDN/>
        <w:bidi w:val="0"/>
        <w:adjustRightInd/>
        <w:snapToGrid/>
        <w:spacing w:after="180" w:line="260" w:lineRule="auto"/>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The existing </w:t>
      </w:r>
      <w:r>
        <w:rPr>
          <w:rFonts w:hint="eastAsia" w:cs="Times New Roman"/>
          <w:i/>
          <w:iCs/>
          <w:sz w:val="20"/>
          <w:szCs w:val="20"/>
          <w:lang w:val="en-US" w:eastAsia="zh-CN"/>
        </w:rPr>
        <w:t>ZP-CSI-RS-Resource</w:t>
      </w:r>
      <w:r>
        <w:rPr>
          <w:rFonts w:hint="eastAsia" w:cs="Times New Roman"/>
          <w:sz w:val="20"/>
          <w:szCs w:val="20"/>
          <w:lang w:val="en-US" w:eastAsia="zh-CN"/>
        </w:rPr>
        <w:t xml:space="preserve"> with RE level granularity or </w:t>
      </w:r>
      <w:r>
        <w:rPr>
          <w:rFonts w:hint="eastAsia" w:cs="Times New Roman"/>
          <w:i/>
          <w:iCs/>
          <w:sz w:val="20"/>
          <w:szCs w:val="20"/>
          <w:lang w:val="en-US" w:eastAsia="zh-CN"/>
        </w:rPr>
        <w:t>RateMatchPattern</w:t>
      </w:r>
      <w:r>
        <w:rPr>
          <w:rFonts w:hint="eastAsia" w:cs="Times New Roman"/>
          <w:sz w:val="20"/>
          <w:szCs w:val="20"/>
          <w:lang w:val="en-US" w:eastAsia="zh-CN"/>
        </w:rPr>
        <w:t xml:space="preserve"> with RB symbol level granularity can hardly match the SRS resource configuration. The minimum bandwidth of CSI-RS/ZP-CSI-RS equals to min(24, BWP size), but SRS bandwidth on a symbol can be smaller than 24 RBs. SRS supports more configurations with different periodicities, e.g. 1280, 2560 slots, but ZP-CSI-RS does not. The SRS characteristic of intra-slot and inter-slot frequency hopping within a BWP brings about the </w:t>
      </w:r>
      <w:bookmarkStart w:id="5" w:name="OLE_LINK3"/>
      <w:r>
        <w:rPr>
          <w:rFonts w:hint="eastAsia" w:cs="Times New Roman"/>
          <w:sz w:val="20"/>
          <w:szCs w:val="20"/>
          <w:lang w:val="en-US" w:eastAsia="zh-CN"/>
        </w:rPr>
        <w:t xml:space="preserve">difficulty </w:t>
      </w:r>
      <w:bookmarkEnd w:id="5"/>
      <w:r>
        <w:rPr>
          <w:rFonts w:hint="eastAsia" w:cs="Times New Roman"/>
          <w:sz w:val="20"/>
          <w:szCs w:val="20"/>
          <w:lang w:val="en-US" w:eastAsia="zh-CN"/>
        </w:rPr>
        <w:t>for reusing RE level granularity rate matching. Symbol level rate-matching for CLI measurement resource has a large overhead. Compared with above two, supporting ZP-SRS also facilitates performing CLI measurement simultaneously between several UE pairs utilizing SRS comb structure.</w:t>
      </w:r>
    </w:p>
    <w:p>
      <w:pPr>
        <w:jc w:val="both"/>
        <w:rPr>
          <w:rFonts w:hint="default" w:ascii="Times New Roman" w:hAnsi="Times New Roman" w:eastAsia="宋体" w:cs="Times New Roman"/>
          <w:b w:val="0"/>
          <w:bCs w:val="0"/>
          <w:i/>
          <w:iCs/>
          <w:sz w:val="20"/>
          <w:szCs w:val="20"/>
          <w:highlight w:val="none"/>
          <w:lang w:val="en-US" w:eastAsia="zh-CN"/>
        </w:rPr>
      </w:pPr>
      <w:r>
        <w:rPr>
          <w:rFonts w:hint="eastAsia" w:ascii="Times New Roman" w:hAnsi="Times New Roman" w:eastAsia="宋体" w:cs="Times New Roman"/>
          <w:b/>
          <w:bCs/>
          <w:sz w:val="20"/>
          <w:szCs w:val="20"/>
          <w:highlight w:val="none"/>
          <w:lang w:val="en-US" w:eastAsia="zh-CN"/>
        </w:rPr>
        <w:t xml:space="preserve">Proposal </w:t>
      </w:r>
      <w:r>
        <w:rPr>
          <w:rFonts w:hint="eastAsia" w:eastAsia="宋体" w:cs="Times New Roman"/>
          <w:b/>
          <w:bCs/>
          <w:sz w:val="20"/>
          <w:szCs w:val="20"/>
          <w:highlight w:val="none"/>
          <w:lang w:val="en-US" w:eastAsia="zh-CN"/>
        </w:rPr>
        <w:t>3</w:t>
      </w:r>
      <w:r>
        <w:rPr>
          <w:rFonts w:hint="eastAsia" w:ascii="Times New Roman" w:hAnsi="Times New Roman" w:eastAsia="宋体" w:cs="Times New Roman"/>
          <w:b/>
          <w:bCs/>
          <w:sz w:val="20"/>
          <w:szCs w:val="20"/>
          <w:highlight w:val="none"/>
          <w:lang w:val="en-US" w:eastAsia="zh-CN"/>
        </w:rPr>
        <w:t xml:space="preserve">: </w:t>
      </w:r>
      <w:r>
        <w:rPr>
          <w:rFonts w:hint="eastAsia" w:eastAsia="宋体" w:cs="Times New Roman"/>
          <w:b w:val="0"/>
          <w:bCs w:val="0"/>
          <w:i/>
          <w:iCs/>
          <w:sz w:val="20"/>
          <w:szCs w:val="20"/>
          <w:highlight w:val="none"/>
          <w:lang w:val="en-US" w:eastAsia="zh-CN"/>
        </w:rPr>
        <w:t>ZP-SRS should be introduced for PDSCH rate-matching in SRS measurement resource</w:t>
      </w:r>
      <w:r>
        <w:rPr>
          <w:rFonts w:hint="eastAsia" w:ascii="Times New Roman" w:hAnsi="Times New Roman" w:eastAsia="Times New Roman" w:cs="Times New Roman"/>
          <w:i/>
          <w:iCs/>
          <w:sz w:val="20"/>
          <w:szCs w:val="20"/>
          <w:lang w:val="en-US" w:eastAsia="zh-CN"/>
        </w:rPr>
        <w:t>.</w:t>
      </w:r>
    </w:p>
    <w:p>
      <w:pPr>
        <w:pStyle w:val="3"/>
        <w:spacing w:after="240" w:line="260" w:lineRule="auto"/>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L3 measurement reporting</w:t>
      </w:r>
    </w:p>
    <w:p>
      <w:pPr>
        <w:jc w:val="both"/>
        <w:rPr>
          <w:rFonts w:hint="eastAsia" w:ascii="Times New Roman" w:hAnsi="Times New Roman" w:eastAsia="宋体" w:cs="Times New Roman"/>
          <w:b/>
          <w:bCs/>
          <w:sz w:val="20"/>
          <w:szCs w:val="20"/>
          <w:highlight w:val="none"/>
          <w:lang w:val="en-US" w:eastAsia="zh-CN"/>
        </w:rPr>
      </w:pPr>
      <w:r>
        <w:rPr>
          <w:rFonts w:hint="eastAsia" w:eastAsia="宋体" w:cs="Times New Roman"/>
          <w:b w:val="0"/>
          <w:bCs w:val="0"/>
          <w:color w:val="auto"/>
          <w:sz w:val="20"/>
          <w:szCs w:val="20"/>
          <w:highlight w:val="none"/>
          <w:u w:val="none"/>
          <w:lang w:val="en-US" w:eastAsia="zh-CN"/>
        </w:rPr>
        <w:t>RAN1 has already agreed that UE support both CLI-RSSI and SRS-RSRP measurement metrics. But from the perspective of UE capability, UE can support one of CLI-RSSI and SRS-RSRP measurement, or both. As a preference, CLI-RSSI can be as a mandatory CLI measurement metric that Rel-16 UEs must support since it is easy to work compared with SRS-RSRP. The measurement/report configuration of CLI-RSSI and SRS-RSRP are independent, and UE should be not required to perform two type measurements simultaneously. SRS-RSRP measurement report and CLI-RSSI measurement report can be configured together for a UE, if both of them are available. Whether such configuration scheme is feasible or not still needs to be confirmed by RAN2.</w:t>
      </w:r>
    </w:p>
    <w:p>
      <w:pPr>
        <w:pStyle w:val="2"/>
        <w:ind w:left="448" w:hanging="448"/>
        <w:jc w:val="both"/>
        <w:rPr>
          <w:rFonts w:hint="eastAsia" w:ascii="Arial" w:hAnsi="Arial" w:eastAsia="宋体" w:cs="Arial"/>
          <w:b/>
          <w:sz w:val="28"/>
          <w:szCs w:val="28"/>
          <w:lang w:val="en-US" w:eastAsia="zh-CN"/>
        </w:rPr>
      </w:pPr>
      <w:r>
        <w:rPr>
          <w:rFonts w:hint="eastAsia" w:ascii="Arial" w:hAnsi="Arial" w:eastAsia="宋体" w:cs="Arial"/>
          <w:b/>
          <w:sz w:val="28"/>
          <w:szCs w:val="28"/>
          <w:lang w:val="en-US" w:eastAsia="zh-CN"/>
        </w:rPr>
        <w:t xml:space="preserve"> Conclusion</w:t>
      </w:r>
    </w:p>
    <w:p>
      <w:pPr>
        <w:widowControl w:val="0"/>
        <w:tabs>
          <w:tab w:val="left" w:pos="2784"/>
        </w:tabs>
        <w:autoSpaceDE w:val="0"/>
        <w:autoSpaceDN w:val="0"/>
        <w:adjustRightInd w:val="0"/>
        <w:spacing w:after="120" w:line="276" w:lineRule="auto"/>
        <w:jc w:val="both"/>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sz w:val="20"/>
          <w:szCs w:val="20"/>
          <w:lang w:val="en-US" w:eastAsia="zh-CN"/>
        </w:rPr>
        <w:t xml:space="preserve">In this </w:t>
      </w:r>
      <w:r>
        <w:rPr>
          <w:rFonts w:hint="default" w:ascii="Times New Roman" w:hAnsi="Times New Roman" w:eastAsia="宋体" w:cs="Times New Roman"/>
          <w:sz w:val="20"/>
          <w:szCs w:val="20"/>
          <w:lang w:eastAsia="zh-CN"/>
        </w:rPr>
        <w:t>contribution</w:t>
      </w:r>
      <w:r>
        <w:rPr>
          <w:rFonts w:hint="default" w:ascii="Times New Roman" w:hAnsi="Times New Roman" w:eastAsia="宋体" w:cs="Times New Roman"/>
          <w:sz w:val="20"/>
          <w:szCs w:val="20"/>
          <w:lang w:val="en-US" w:eastAsia="zh-CN"/>
        </w:rPr>
        <w:t xml:space="preserve">, we discuss </w:t>
      </w:r>
      <w:r>
        <w:rPr>
          <w:rFonts w:hint="eastAsia" w:eastAsia="宋体" w:cs="Times New Roman"/>
          <w:sz w:val="20"/>
          <w:szCs w:val="20"/>
          <w:lang w:val="en-US" w:eastAsia="zh-CN"/>
        </w:rPr>
        <w:t xml:space="preserve">remaining issues of </w:t>
      </w:r>
      <w:r>
        <w:rPr>
          <w:rFonts w:hint="default" w:ascii="Times New Roman" w:hAnsi="Times New Roman" w:cs="Times New Roman" w:eastAsiaTheme="minorEastAsia"/>
          <w:sz w:val="20"/>
          <w:szCs w:val="20"/>
          <w:lang w:val="en-US" w:eastAsia="zh-CN"/>
        </w:rPr>
        <w:t>UE-to-UE measurement and reporting for CLI mitigation</w:t>
      </w:r>
      <w:r>
        <w:rPr>
          <w:rFonts w:hint="default" w:ascii="Times New Roman" w:hAnsi="Times New Roman" w:eastAsia="宋体" w:cs="Times New Roman"/>
          <w:sz w:val="20"/>
          <w:szCs w:val="20"/>
          <w:lang w:val="en-US" w:eastAsia="zh-CN"/>
        </w:rPr>
        <w:t>, and have the following proposals:</w:t>
      </w:r>
      <w:r>
        <w:rPr>
          <w:rFonts w:hint="default" w:ascii="Times New Roman" w:hAnsi="Times New Roman" w:eastAsia="宋体" w:cs="Times New Roman"/>
          <w:i/>
          <w:iCs/>
          <w:sz w:val="20"/>
          <w:szCs w:val="20"/>
          <w:lang w:val="en-US" w:eastAsia="zh-CN"/>
        </w:rPr>
        <w:t xml:space="preserve"> </w:t>
      </w:r>
    </w:p>
    <w:p>
      <w:pPr>
        <w:jc w:val="both"/>
        <w:rPr>
          <w:rFonts w:hint="eastAsia" w:ascii="Times New Roman" w:hAnsi="Times New Roman" w:eastAsia="宋体" w:cs="Times New Roman"/>
          <w:b/>
          <w:bCs/>
          <w:sz w:val="20"/>
          <w:szCs w:val="20"/>
          <w:highlight w:val="none"/>
          <w:lang w:val="en-US" w:eastAsia="zh-CN"/>
        </w:rPr>
      </w:pPr>
      <w:r>
        <w:rPr>
          <w:rFonts w:hint="eastAsia" w:ascii="Times New Roman" w:hAnsi="Times New Roman" w:eastAsia="宋体" w:cs="Times New Roman"/>
          <w:b/>
          <w:bCs/>
          <w:sz w:val="20"/>
          <w:szCs w:val="20"/>
          <w:highlight w:val="none"/>
          <w:lang w:val="en-US" w:eastAsia="zh-CN"/>
        </w:rPr>
        <w:t xml:space="preserve">Proposal </w:t>
      </w:r>
      <w:r>
        <w:rPr>
          <w:rFonts w:hint="eastAsia" w:eastAsia="宋体" w:cs="Times New Roman"/>
          <w:b/>
          <w:bCs/>
          <w:sz w:val="20"/>
          <w:szCs w:val="20"/>
          <w:highlight w:val="none"/>
          <w:lang w:val="en-US" w:eastAsia="zh-CN"/>
        </w:rPr>
        <w:t>1</w:t>
      </w:r>
      <w:r>
        <w:rPr>
          <w:rFonts w:hint="eastAsia" w:ascii="Times New Roman" w:hAnsi="Times New Roman" w:eastAsia="宋体" w:cs="Times New Roman"/>
          <w:b/>
          <w:bCs/>
          <w:sz w:val="20"/>
          <w:szCs w:val="20"/>
          <w:highlight w:val="none"/>
          <w:lang w:val="en-US" w:eastAsia="zh-CN"/>
        </w:rPr>
        <w:t xml:space="preserve">: </w:t>
      </w:r>
      <w:r>
        <w:rPr>
          <w:rFonts w:hint="eastAsia" w:ascii="Times New Roman" w:hAnsi="Times New Roman" w:eastAsia="宋体" w:cs="Times New Roman"/>
          <w:b w:val="0"/>
          <w:bCs w:val="0"/>
          <w:i/>
          <w:iCs/>
          <w:sz w:val="20"/>
          <w:szCs w:val="20"/>
          <w:highlight w:val="none"/>
          <w:lang w:val="en-US" w:eastAsia="zh-CN"/>
        </w:rPr>
        <w:t>Transmission timing advance of SRS for CLI measurement can be different from the transmission timing advance of  PUSCH</w:t>
      </w:r>
      <w:r>
        <w:rPr>
          <w:rFonts w:hint="eastAsia" w:ascii="Times New Roman" w:hAnsi="Times New Roman" w:eastAsia="宋体" w:cs="Times New Roman"/>
          <w:b/>
          <w:bCs/>
          <w:sz w:val="20"/>
          <w:szCs w:val="20"/>
          <w:highlight w:val="none"/>
          <w:lang w:val="en-US" w:eastAsia="zh-CN"/>
        </w:rPr>
        <w:t>.</w:t>
      </w:r>
    </w:p>
    <w:p>
      <w:pPr>
        <w:jc w:val="both"/>
        <w:rPr>
          <w:rFonts w:hint="default" w:ascii="Times New Roman" w:hAnsi="Times New Roman" w:eastAsia="宋体" w:cs="Times New Roman"/>
          <w:b w:val="0"/>
          <w:bCs w:val="0"/>
          <w:sz w:val="20"/>
          <w:szCs w:val="20"/>
          <w:highlight w:val="none"/>
          <w:lang w:val="en-US" w:eastAsia="zh-CN"/>
        </w:rPr>
      </w:pPr>
      <w:r>
        <w:rPr>
          <w:rFonts w:hint="eastAsia" w:ascii="Times New Roman" w:hAnsi="Times New Roman" w:eastAsia="宋体" w:cs="Times New Roman"/>
          <w:b/>
          <w:bCs/>
          <w:sz w:val="20"/>
          <w:szCs w:val="20"/>
          <w:highlight w:val="none"/>
          <w:lang w:val="en-US" w:eastAsia="zh-CN"/>
        </w:rPr>
        <w:t xml:space="preserve">Proposal </w:t>
      </w:r>
      <w:r>
        <w:rPr>
          <w:rFonts w:hint="eastAsia" w:eastAsia="宋体" w:cs="Times New Roman"/>
          <w:b/>
          <w:bCs/>
          <w:sz w:val="20"/>
          <w:szCs w:val="20"/>
          <w:highlight w:val="none"/>
          <w:lang w:val="en-US" w:eastAsia="zh-CN"/>
        </w:rPr>
        <w:t>2</w:t>
      </w:r>
      <w:r>
        <w:rPr>
          <w:rFonts w:hint="eastAsia" w:ascii="Times New Roman" w:hAnsi="Times New Roman" w:eastAsia="宋体" w:cs="Times New Roman"/>
          <w:b/>
          <w:bCs/>
          <w:sz w:val="20"/>
          <w:szCs w:val="20"/>
          <w:highlight w:val="none"/>
          <w:lang w:val="en-US" w:eastAsia="zh-CN"/>
        </w:rPr>
        <w:t xml:space="preserve">: </w:t>
      </w:r>
      <w:r>
        <w:rPr>
          <w:rFonts w:hint="eastAsia" w:ascii="Times New Roman" w:hAnsi="Times New Roman" w:eastAsia="宋体" w:cs="Times New Roman"/>
          <w:b w:val="0"/>
          <w:bCs w:val="0"/>
          <w:i/>
          <w:iCs/>
          <w:sz w:val="20"/>
          <w:szCs w:val="20"/>
          <w:highlight w:val="none"/>
          <w:lang w:val="en-US" w:eastAsia="zh-CN"/>
        </w:rPr>
        <w:t xml:space="preserve">For SRS-RSRP CLI measurement, </w:t>
      </w:r>
      <w:r>
        <w:rPr>
          <w:rFonts w:hint="eastAsia" w:ascii="Times New Roman" w:hAnsi="Times New Roman" w:eastAsia="Times New Roman" w:cs="Times New Roman"/>
          <w:i/>
          <w:iCs/>
          <w:sz w:val="20"/>
          <w:szCs w:val="20"/>
          <w:lang w:val="en-US" w:eastAsia="zh-CN"/>
        </w:rPr>
        <w:t>UE assumes that the power of SRS remains constant unless a new configured  power value is received.</w:t>
      </w:r>
    </w:p>
    <w:p>
      <w:pPr>
        <w:jc w:val="both"/>
        <w:rPr>
          <w:rFonts w:hint="default" w:ascii="Times New Roman" w:hAnsi="Times New Roman" w:eastAsia="宋体" w:cs="Times New Roman"/>
          <w:b w:val="0"/>
          <w:bCs w:val="0"/>
          <w:i/>
          <w:iCs/>
          <w:sz w:val="20"/>
          <w:szCs w:val="20"/>
          <w:highlight w:val="none"/>
          <w:lang w:val="en-US" w:eastAsia="zh-CN"/>
        </w:rPr>
      </w:pPr>
      <w:r>
        <w:rPr>
          <w:rFonts w:hint="eastAsia" w:ascii="Times New Roman" w:hAnsi="Times New Roman" w:eastAsia="宋体" w:cs="Times New Roman"/>
          <w:b/>
          <w:bCs/>
          <w:sz w:val="20"/>
          <w:szCs w:val="20"/>
          <w:highlight w:val="none"/>
          <w:lang w:val="en-US" w:eastAsia="zh-CN"/>
        </w:rPr>
        <w:t xml:space="preserve">Proposal </w:t>
      </w:r>
      <w:r>
        <w:rPr>
          <w:rFonts w:hint="eastAsia" w:eastAsia="宋体" w:cs="Times New Roman"/>
          <w:b/>
          <w:bCs/>
          <w:sz w:val="20"/>
          <w:szCs w:val="20"/>
          <w:highlight w:val="none"/>
          <w:lang w:val="en-US" w:eastAsia="zh-CN"/>
        </w:rPr>
        <w:t>3</w:t>
      </w:r>
      <w:r>
        <w:rPr>
          <w:rFonts w:hint="eastAsia" w:ascii="Times New Roman" w:hAnsi="Times New Roman" w:eastAsia="宋体" w:cs="Times New Roman"/>
          <w:b/>
          <w:bCs/>
          <w:sz w:val="20"/>
          <w:szCs w:val="20"/>
          <w:highlight w:val="none"/>
          <w:lang w:val="en-US" w:eastAsia="zh-CN"/>
        </w:rPr>
        <w:t xml:space="preserve">: </w:t>
      </w:r>
      <w:r>
        <w:rPr>
          <w:rFonts w:hint="eastAsia" w:eastAsia="宋体" w:cs="Times New Roman"/>
          <w:b w:val="0"/>
          <w:bCs w:val="0"/>
          <w:i/>
          <w:iCs/>
          <w:sz w:val="20"/>
          <w:szCs w:val="20"/>
          <w:highlight w:val="none"/>
          <w:lang w:val="en-US" w:eastAsia="zh-CN"/>
        </w:rPr>
        <w:t>ZP-SRS should be introduced for PDSCH rate-matching in SRS measurement resource</w:t>
      </w:r>
      <w:r>
        <w:rPr>
          <w:rFonts w:hint="eastAsia" w:ascii="Times New Roman" w:hAnsi="Times New Roman" w:eastAsia="Times New Roman" w:cs="Times New Roman"/>
          <w:i/>
          <w:iCs/>
          <w:sz w:val="20"/>
          <w:szCs w:val="20"/>
          <w:lang w:val="en-US" w:eastAsia="zh-CN"/>
        </w:rPr>
        <w:t>.</w:t>
      </w:r>
    </w:p>
    <w:bookmarkEnd w:id="1"/>
    <w:bookmarkEnd w:id="2"/>
    <w:bookmarkEnd w:id="3"/>
    <w:bookmarkEnd w:id="4"/>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6"/>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hint="eastAsia" w:eastAsia="宋体"/>
          <w:lang w:val="en-US" w:eastAsia="zh-CN"/>
        </w:rPr>
        <w:t>182864</w:t>
      </w:r>
      <w:r>
        <w:rPr>
          <w:rFonts w:eastAsia="宋体"/>
          <w:lang w:val="en-US" w:eastAsia="zh-CN"/>
        </w:rPr>
        <w:t xml:space="preserve">, </w:t>
      </w:r>
      <w:r>
        <w:rPr>
          <w:rFonts w:hint="eastAsia" w:eastAsia="宋体"/>
          <w:lang w:val="en-US" w:eastAsia="zh-CN"/>
        </w:rPr>
        <w:t>Revised WID on CLI handling and RIM for NR</w:t>
      </w:r>
      <w:r>
        <w:rPr>
          <w:rFonts w:eastAsia="宋体"/>
          <w:lang w:val="en-US" w:eastAsia="zh-CN"/>
        </w:rPr>
        <w:t xml:space="preserve">, </w:t>
      </w:r>
      <w:r>
        <w:rPr>
          <w:rFonts w:hint="eastAsia" w:eastAsia="宋体"/>
          <w:lang w:val="en-US" w:eastAsia="zh-CN"/>
        </w:rPr>
        <w:t>LG,</w:t>
      </w:r>
      <w:r>
        <w:rPr>
          <w:rFonts w:eastAsia="宋体"/>
          <w:lang w:val="en-US" w:eastAsia="zh-CN"/>
        </w:rPr>
        <w:t xml:space="preserve"> </w:t>
      </w:r>
      <w:r>
        <w:rPr>
          <w:rFonts w:hint="eastAsia" w:eastAsia="宋体"/>
          <w:lang w:val="en-US" w:eastAsia="zh-CN"/>
        </w:rPr>
        <w:t xml:space="preserve">Dec. 10 - 13,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p>
      <w:pPr>
        <w:widowControl w:val="0"/>
        <w:numPr>
          <w:ilvl w:val="0"/>
          <w:numId w:val="16"/>
        </w:numPr>
        <w:autoSpaceDE w:val="0"/>
        <w:autoSpaceDN w:val="0"/>
        <w:adjustRightInd w:val="0"/>
        <w:spacing w:after="0" w:line="276" w:lineRule="auto"/>
        <w:jc w:val="both"/>
        <w:rPr>
          <w:rFonts w:eastAsia="宋体"/>
          <w:lang w:val="en-US" w:eastAsia="zh-CN"/>
        </w:rPr>
      </w:pPr>
      <w:r>
        <w:rPr>
          <w:rFonts w:hint="eastAsia"/>
          <w:lang w:eastAsia="zh-CN"/>
        </w:rPr>
        <w:t>Draft</w:t>
      </w:r>
      <w:r>
        <w:rPr>
          <w:rFonts w:hint="eastAsia"/>
          <w:lang w:val="en-US" w:eastAsia="zh-CN"/>
        </w:rPr>
        <w:t>_Minutes_report_RAN1#AH_1901_v010</w:t>
      </w:r>
      <w:bookmarkStart w:id="6" w:name="_GoBack"/>
      <w:bookmarkEnd w:id="6"/>
    </w:p>
    <w:bookmarkEnd w:id="0"/>
    <w:p>
      <w:pPr>
        <w:widowControl w:val="0"/>
        <w:numPr>
          <w:ilvl w:val="0"/>
          <w:numId w:val="0"/>
        </w:numPr>
        <w:autoSpaceDE w:val="0"/>
        <w:autoSpaceDN w:val="0"/>
        <w:adjustRightInd w:val="0"/>
        <w:spacing w:after="0" w:line="276" w:lineRule="auto"/>
        <w:ind w:leftChars="0"/>
        <w:jc w:val="both"/>
        <w:rPr>
          <w:rFonts w:hint="eastAsia" w:ascii="宋体" w:hAnsi="宋体"/>
          <w:color w:val="000000"/>
          <w:sz w:val="18"/>
          <w:lang w:val="en-US" w:eastAsia="zh-CN"/>
        </w:rPr>
      </w:pPr>
    </w:p>
    <w:p>
      <w:pPr>
        <w:widowControl w:val="0"/>
        <w:numPr>
          <w:ilvl w:val="0"/>
          <w:numId w:val="0"/>
        </w:numPr>
        <w:autoSpaceDE w:val="0"/>
        <w:autoSpaceDN w:val="0"/>
        <w:adjustRightInd w:val="0"/>
        <w:spacing w:after="0" w:line="276" w:lineRule="auto"/>
        <w:ind w:leftChars="0"/>
        <w:jc w:val="both"/>
        <w:rPr>
          <w:rFonts w:hint="eastAsia" w:ascii="宋体" w:hAnsi="宋体"/>
          <w:color w:val="000000"/>
          <w:sz w:val="18"/>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Latha"/>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2AF" w:usb1="01D77CFB" w:usb2="00000012" w:usb3="00000000" w:csb0="00080001"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i w:val="0"/>
      </w:rPr>
    </w:pPr>
    <w:r>
      <w:rPr>
        <w:i w:val="0"/>
      </w:rPr>
      <w:fldChar w:fldCharType="begin"/>
    </w:r>
    <w:r>
      <w:rPr>
        <w:rStyle w:val="25"/>
        <w:i w:val="0"/>
      </w:rPr>
      <w:instrText xml:space="preserve">PAGE  </w:instrText>
    </w:r>
    <w:r>
      <w:rPr>
        <w:i w:val="0"/>
      </w:rPr>
      <w:fldChar w:fldCharType="separate"/>
    </w:r>
    <w:r>
      <w:rPr>
        <w:rStyle w:val="25"/>
        <w:i w:val="0"/>
      </w:rPr>
      <w:t>1</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67560A"/>
    <w:multiLevelType w:val="multilevel"/>
    <w:tmpl w:val="0D67560A"/>
    <w:lvl w:ilvl="0" w:tentative="0">
      <w:start w:val="1"/>
      <w:numFmt w:val="decimal"/>
      <w:pStyle w:val="123"/>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15FB67FB"/>
    <w:multiLevelType w:val="multilevel"/>
    <w:tmpl w:val="15FB67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E798499"/>
    <w:multiLevelType w:val="singleLevel"/>
    <w:tmpl w:val="2E798499"/>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7">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9">
    <w:nsid w:val="4CA755DA"/>
    <w:multiLevelType w:val="multilevel"/>
    <w:tmpl w:val="4CA755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5BDE24BA"/>
    <w:multiLevelType w:val="multilevel"/>
    <w:tmpl w:val="5BDE24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6076F0"/>
    <w:multiLevelType w:val="multilevel"/>
    <w:tmpl w:val="616076F0"/>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85B10C3"/>
    <w:multiLevelType w:val="multilevel"/>
    <w:tmpl w:val="785B10C3"/>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5">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13"/>
  </w:num>
  <w:num w:numId="4">
    <w:abstractNumId w:val="15"/>
  </w:num>
  <w:num w:numId="5">
    <w:abstractNumId w:val="5"/>
  </w:num>
  <w:num w:numId="6">
    <w:abstractNumId w:val="10"/>
  </w:num>
  <w:num w:numId="7">
    <w:abstractNumId w:val="7"/>
  </w:num>
  <w:num w:numId="8">
    <w:abstractNumId w:val="1"/>
  </w:num>
  <w:num w:numId="9">
    <w:abstractNumId w:val="2"/>
  </w:num>
  <w:num w:numId="10">
    <w:abstractNumId w:val="12"/>
  </w:num>
  <w:num w:numId="11">
    <w:abstractNumId w:val="9"/>
  </w:num>
  <w:num w:numId="12">
    <w:abstractNumId w:val="4"/>
  </w:num>
  <w:num w:numId="13">
    <w:abstractNumId w:val="14"/>
  </w:num>
  <w:num w:numId="14">
    <w:abstractNumId w:val="11"/>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5AF"/>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535"/>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14F"/>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56318E"/>
    <w:rsid w:val="015D0C8D"/>
    <w:rsid w:val="016300B5"/>
    <w:rsid w:val="01662491"/>
    <w:rsid w:val="0171781D"/>
    <w:rsid w:val="017F5CF5"/>
    <w:rsid w:val="019F2E30"/>
    <w:rsid w:val="01B427D6"/>
    <w:rsid w:val="01D7237F"/>
    <w:rsid w:val="01DE59FF"/>
    <w:rsid w:val="01E612E0"/>
    <w:rsid w:val="022279BD"/>
    <w:rsid w:val="02293D79"/>
    <w:rsid w:val="02532014"/>
    <w:rsid w:val="026E43B5"/>
    <w:rsid w:val="0274327C"/>
    <w:rsid w:val="0295015A"/>
    <w:rsid w:val="02CD4BFA"/>
    <w:rsid w:val="02D40EE9"/>
    <w:rsid w:val="02D75424"/>
    <w:rsid w:val="02F13702"/>
    <w:rsid w:val="03127134"/>
    <w:rsid w:val="032E7219"/>
    <w:rsid w:val="034556F1"/>
    <w:rsid w:val="03607155"/>
    <w:rsid w:val="03730DEA"/>
    <w:rsid w:val="037578E7"/>
    <w:rsid w:val="038B5421"/>
    <w:rsid w:val="03A05799"/>
    <w:rsid w:val="03C27D6B"/>
    <w:rsid w:val="03CA3952"/>
    <w:rsid w:val="04137393"/>
    <w:rsid w:val="041D3FE2"/>
    <w:rsid w:val="04565EC0"/>
    <w:rsid w:val="04586E3A"/>
    <w:rsid w:val="04837FC2"/>
    <w:rsid w:val="04A505D0"/>
    <w:rsid w:val="04B14C72"/>
    <w:rsid w:val="04D82991"/>
    <w:rsid w:val="04D933F6"/>
    <w:rsid w:val="04DA2961"/>
    <w:rsid w:val="04E03A7A"/>
    <w:rsid w:val="04E54B1B"/>
    <w:rsid w:val="04E56C3A"/>
    <w:rsid w:val="05057BC5"/>
    <w:rsid w:val="050A34A7"/>
    <w:rsid w:val="050C02AC"/>
    <w:rsid w:val="05446F7F"/>
    <w:rsid w:val="054621C9"/>
    <w:rsid w:val="056E41FD"/>
    <w:rsid w:val="059914B5"/>
    <w:rsid w:val="059964FC"/>
    <w:rsid w:val="059D4F85"/>
    <w:rsid w:val="05E76016"/>
    <w:rsid w:val="05F02835"/>
    <w:rsid w:val="05F06244"/>
    <w:rsid w:val="05FD07F9"/>
    <w:rsid w:val="06023C5C"/>
    <w:rsid w:val="0604590D"/>
    <w:rsid w:val="063B1FB2"/>
    <w:rsid w:val="063D7168"/>
    <w:rsid w:val="06412B65"/>
    <w:rsid w:val="06730B11"/>
    <w:rsid w:val="06780CAF"/>
    <w:rsid w:val="068F3B2B"/>
    <w:rsid w:val="06A3326D"/>
    <w:rsid w:val="06C1240E"/>
    <w:rsid w:val="06C164A1"/>
    <w:rsid w:val="06CA6A84"/>
    <w:rsid w:val="06FF6A5C"/>
    <w:rsid w:val="07542980"/>
    <w:rsid w:val="07694284"/>
    <w:rsid w:val="077C7015"/>
    <w:rsid w:val="07877B44"/>
    <w:rsid w:val="07D07BA7"/>
    <w:rsid w:val="08420F01"/>
    <w:rsid w:val="0891472B"/>
    <w:rsid w:val="08924082"/>
    <w:rsid w:val="08C447CA"/>
    <w:rsid w:val="08FB75A1"/>
    <w:rsid w:val="091D787D"/>
    <w:rsid w:val="091E713C"/>
    <w:rsid w:val="092B4C65"/>
    <w:rsid w:val="0934387B"/>
    <w:rsid w:val="09364FB3"/>
    <w:rsid w:val="094C3184"/>
    <w:rsid w:val="097D51B6"/>
    <w:rsid w:val="09B0521B"/>
    <w:rsid w:val="09B1061F"/>
    <w:rsid w:val="09B23AF5"/>
    <w:rsid w:val="09C01BCF"/>
    <w:rsid w:val="09D01ECD"/>
    <w:rsid w:val="09E97258"/>
    <w:rsid w:val="09EE3439"/>
    <w:rsid w:val="09EF60EE"/>
    <w:rsid w:val="0A297B4C"/>
    <w:rsid w:val="0A44173B"/>
    <w:rsid w:val="0AB416DD"/>
    <w:rsid w:val="0AE41395"/>
    <w:rsid w:val="0B320AFC"/>
    <w:rsid w:val="0B614F20"/>
    <w:rsid w:val="0BAA4B55"/>
    <w:rsid w:val="0BAB08FE"/>
    <w:rsid w:val="0BB96E13"/>
    <w:rsid w:val="0BE54882"/>
    <w:rsid w:val="0BF61FC1"/>
    <w:rsid w:val="0C16794B"/>
    <w:rsid w:val="0C264B17"/>
    <w:rsid w:val="0C4F022E"/>
    <w:rsid w:val="0C6A66D7"/>
    <w:rsid w:val="0C6D6B8F"/>
    <w:rsid w:val="0C800CF5"/>
    <w:rsid w:val="0C861B48"/>
    <w:rsid w:val="0C8F5033"/>
    <w:rsid w:val="0CA06B2F"/>
    <w:rsid w:val="0CA85FC8"/>
    <w:rsid w:val="0CB1691B"/>
    <w:rsid w:val="0CF8402E"/>
    <w:rsid w:val="0D436BCE"/>
    <w:rsid w:val="0D7D3A04"/>
    <w:rsid w:val="0D7E29AB"/>
    <w:rsid w:val="0D89475B"/>
    <w:rsid w:val="0DE53E77"/>
    <w:rsid w:val="0DE8282C"/>
    <w:rsid w:val="0DE87E04"/>
    <w:rsid w:val="0E0C369F"/>
    <w:rsid w:val="0E1324CC"/>
    <w:rsid w:val="0E1C0F16"/>
    <w:rsid w:val="0E5A7645"/>
    <w:rsid w:val="0E8A0028"/>
    <w:rsid w:val="0EB2278F"/>
    <w:rsid w:val="0ED26F10"/>
    <w:rsid w:val="0ED330A1"/>
    <w:rsid w:val="0EE6751E"/>
    <w:rsid w:val="0EFD7ACD"/>
    <w:rsid w:val="0EFE453F"/>
    <w:rsid w:val="0F145B3C"/>
    <w:rsid w:val="0F28143B"/>
    <w:rsid w:val="0F303892"/>
    <w:rsid w:val="0F454FAB"/>
    <w:rsid w:val="0F6013A0"/>
    <w:rsid w:val="0F8B5AF2"/>
    <w:rsid w:val="0F8D0B4E"/>
    <w:rsid w:val="0FAC31FE"/>
    <w:rsid w:val="0FAE32DD"/>
    <w:rsid w:val="0FB777B3"/>
    <w:rsid w:val="0FFE3BEB"/>
    <w:rsid w:val="10063E75"/>
    <w:rsid w:val="100A3B5F"/>
    <w:rsid w:val="100E7C22"/>
    <w:rsid w:val="10296D56"/>
    <w:rsid w:val="103F2FBE"/>
    <w:rsid w:val="104E188D"/>
    <w:rsid w:val="10587490"/>
    <w:rsid w:val="105D57E2"/>
    <w:rsid w:val="10797EF4"/>
    <w:rsid w:val="10A15189"/>
    <w:rsid w:val="10B1705F"/>
    <w:rsid w:val="10D00A21"/>
    <w:rsid w:val="10E94048"/>
    <w:rsid w:val="11176CA9"/>
    <w:rsid w:val="1125710F"/>
    <w:rsid w:val="11272C1C"/>
    <w:rsid w:val="11362E5F"/>
    <w:rsid w:val="113A7E88"/>
    <w:rsid w:val="1145739D"/>
    <w:rsid w:val="11461D73"/>
    <w:rsid w:val="116327EE"/>
    <w:rsid w:val="11751CB5"/>
    <w:rsid w:val="11791A1F"/>
    <w:rsid w:val="119E156F"/>
    <w:rsid w:val="11B02C31"/>
    <w:rsid w:val="11B23D82"/>
    <w:rsid w:val="11BB4CD7"/>
    <w:rsid w:val="11DA7C8F"/>
    <w:rsid w:val="11DD1065"/>
    <w:rsid w:val="12137E52"/>
    <w:rsid w:val="12172F68"/>
    <w:rsid w:val="12337389"/>
    <w:rsid w:val="1236087C"/>
    <w:rsid w:val="12516E7E"/>
    <w:rsid w:val="126573FA"/>
    <w:rsid w:val="12812A73"/>
    <w:rsid w:val="12921179"/>
    <w:rsid w:val="129D2B49"/>
    <w:rsid w:val="12B94ED8"/>
    <w:rsid w:val="12F06806"/>
    <w:rsid w:val="130D20A0"/>
    <w:rsid w:val="132E30A8"/>
    <w:rsid w:val="132F4DB4"/>
    <w:rsid w:val="138F08BC"/>
    <w:rsid w:val="139F6961"/>
    <w:rsid w:val="13A36534"/>
    <w:rsid w:val="13CA7799"/>
    <w:rsid w:val="141D18D4"/>
    <w:rsid w:val="143F6AFF"/>
    <w:rsid w:val="14584883"/>
    <w:rsid w:val="1471057C"/>
    <w:rsid w:val="153B24E0"/>
    <w:rsid w:val="158C5F74"/>
    <w:rsid w:val="15CF58E5"/>
    <w:rsid w:val="15F62CC1"/>
    <w:rsid w:val="15F8008B"/>
    <w:rsid w:val="165434C0"/>
    <w:rsid w:val="165E5402"/>
    <w:rsid w:val="1662278C"/>
    <w:rsid w:val="167026DE"/>
    <w:rsid w:val="1670292F"/>
    <w:rsid w:val="16905A16"/>
    <w:rsid w:val="16957217"/>
    <w:rsid w:val="169777F0"/>
    <w:rsid w:val="16C05C4D"/>
    <w:rsid w:val="16CA4EA8"/>
    <w:rsid w:val="16D43050"/>
    <w:rsid w:val="170A28EB"/>
    <w:rsid w:val="173B7B1C"/>
    <w:rsid w:val="174B5EF9"/>
    <w:rsid w:val="1786367E"/>
    <w:rsid w:val="17872851"/>
    <w:rsid w:val="17A80309"/>
    <w:rsid w:val="17AE317B"/>
    <w:rsid w:val="17BB0334"/>
    <w:rsid w:val="17D071F5"/>
    <w:rsid w:val="17E027A5"/>
    <w:rsid w:val="180F68F4"/>
    <w:rsid w:val="181E0996"/>
    <w:rsid w:val="182948CB"/>
    <w:rsid w:val="18321DF7"/>
    <w:rsid w:val="185F25C7"/>
    <w:rsid w:val="185F620D"/>
    <w:rsid w:val="1887320E"/>
    <w:rsid w:val="18AA59CF"/>
    <w:rsid w:val="18AC67FD"/>
    <w:rsid w:val="18B54546"/>
    <w:rsid w:val="18C35F00"/>
    <w:rsid w:val="18C64161"/>
    <w:rsid w:val="18EC0486"/>
    <w:rsid w:val="19881702"/>
    <w:rsid w:val="199626C3"/>
    <w:rsid w:val="199E7F51"/>
    <w:rsid w:val="19AC5807"/>
    <w:rsid w:val="19F56342"/>
    <w:rsid w:val="1A074506"/>
    <w:rsid w:val="1A333F68"/>
    <w:rsid w:val="1A665379"/>
    <w:rsid w:val="1AA26910"/>
    <w:rsid w:val="1AAE651B"/>
    <w:rsid w:val="1B067C7B"/>
    <w:rsid w:val="1B091337"/>
    <w:rsid w:val="1B0C26CA"/>
    <w:rsid w:val="1B486674"/>
    <w:rsid w:val="1B6D6F8F"/>
    <w:rsid w:val="1B9353D7"/>
    <w:rsid w:val="1BA0668A"/>
    <w:rsid w:val="1BF867C3"/>
    <w:rsid w:val="1C3D50A3"/>
    <w:rsid w:val="1C446B05"/>
    <w:rsid w:val="1C5A6120"/>
    <w:rsid w:val="1C5F5E19"/>
    <w:rsid w:val="1C6149F5"/>
    <w:rsid w:val="1C9A5EA0"/>
    <w:rsid w:val="1CAD40D0"/>
    <w:rsid w:val="1CBA6EDE"/>
    <w:rsid w:val="1CBB7CFB"/>
    <w:rsid w:val="1CE10CEC"/>
    <w:rsid w:val="1CF42DB6"/>
    <w:rsid w:val="1D053E31"/>
    <w:rsid w:val="1D2768F8"/>
    <w:rsid w:val="1D48083B"/>
    <w:rsid w:val="1D5E7DF0"/>
    <w:rsid w:val="1D675229"/>
    <w:rsid w:val="1D683182"/>
    <w:rsid w:val="1D695D08"/>
    <w:rsid w:val="1D6D4EAE"/>
    <w:rsid w:val="1D7952A9"/>
    <w:rsid w:val="1DB84635"/>
    <w:rsid w:val="1DC11A56"/>
    <w:rsid w:val="1DD108D2"/>
    <w:rsid w:val="1E220A25"/>
    <w:rsid w:val="1E3C35CE"/>
    <w:rsid w:val="1E5B025B"/>
    <w:rsid w:val="1E9554E0"/>
    <w:rsid w:val="1EC21E0E"/>
    <w:rsid w:val="1EC27F62"/>
    <w:rsid w:val="1EDB48F2"/>
    <w:rsid w:val="1F035DC7"/>
    <w:rsid w:val="1F452F2B"/>
    <w:rsid w:val="1F5C290A"/>
    <w:rsid w:val="1F7F7D85"/>
    <w:rsid w:val="1F8D6A1B"/>
    <w:rsid w:val="1F944989"/>
    <w:rsid w:val="1FA27229"/>
    <w:rsid w:val="1FA77E30"/>
    <w:rsid w:val="1FB31FD3"/>
    <w:rsid w:val="1FE444EE"/>
    <w:rsid w:val="1FFF598F"/>
    <w:rsid w:val="202E5853"/>
    <w:rsid w:val="20450A76"/>
    <w:rsid w:val="20455F9C"/>
    <w:rsid w:val="2062655B"/>
    <w:rsid w:val="20707DFA"/>
    <w:rsid w:val="207B78EC"/>
    <w:rsid w:val="20BE1E68"/>
    <w:rsid w:val="20C60424"/>
    <w:rsid w:val="20C97E22"/>
    <w:rsid w:val="20CB6C98"/>
    <w:rsid w:val="21307AB3"/>
    <w:rsid w:val="214962FB"/>
    <w:rsid w:val="21634B30"/>
    <w:rsid w:val="218B5863"/>
    <w:rsid w:val="219950D5"/>
    <w:rsid w:val="219F03B9"/>
    <w:rsid w:val="21A1056E"/>
    <w:rsid w:val="21A64F4B"/>
    <w:rsid w:val="21AD5453"/>
    <w:rsid w:val="21B26110"/>
    <w:rsid w:val="21C12F7A"/>
    <w:rsid w:val="21CC6790"/>
    <w:rsid w:val="21DB3D0C"/>
    <w:rsid w:val="220F0C18"/>
    <w:rsid w:val="225800A7"/>
    <w:rsid w:val="22723D89"/>
    <w:rsid w:val="2296302B"/>
    <w:rsid w:val="22B753BA"/>
    <w:rsid w:val="235238D3"/>
    <w:rsid w:val="23717DF7"/>
    <w:rsid w:val="23743C3C"/>
    <w:rsid w:val="239917F4"/>
    <w:rsid w:val="23B700B7"/>
    <w:rsid w:val="23B80ECF"/>
    <w:rsid w:val="23BD7F43"/>
    <w:rsid w:val="241B1584"/>
    <w:rsid w:val="2445694D"/>
    <w:rsid w:val="249C0C00"/>
    <w:rsid w:val="24B831FE"/>
    <w:rsid w:val="24D66B6D"/>
    <w:rsid w:val="24E076AA"/>
    <w:rsid w:val="24FA07DE"/>
    <w:rsid w:val="25006528"/>
    <w:rsid w:val="254B11E9"/>
    <w:rsid w:val="255514A1"/>
    <w:rsid w:val="25781B30"/>
    <w:rsid w:val="257F0A11"/>
    <w:rsid w:val="258B7A1A"/>
    <w:rsid w:val="258C22B9"/>
    <w:rsid w:val="25A534F7"/>
    <w:rsid w:val="25B109AB"/>
    <w:rsid w:val="25E57B8D"/>
    <w:rsid w:val="25EF16D6"/>
    <w:rsid w:val="25F87519"/>
    <w:rsid w:val="26180793"/>
    <w:rsid w:val="261C0161"/>
    <w:rsid w:val="265E0639"/>
    <w:rsid w:val="265E6977"/>
    <w:rsid w:val="26796197"/>
    <w:rsid w:val="267D4A70"/>
    <w:rsid w:val="267F3D1E"/>
    <w:rsid w:val="26B15A6A"/>
    <w:rsid w:val="26B44785"/>
    <w:rsid w:val="26BF09E3"/>
    <w:rsid w:val="26ED2E1C"/>
    <w:rsid w:val="26EF6891"/>
    <w:rsid w:val="272808FB"/>
    <w:rsid w:val="27377605"/>
    <w:rsid w:val="273A2D51"/>
    <w:rsid w:val="2786663F"/>
    <w:rsid w:val="27935561"/>
    <w:rsid w:val="279A7B43"/>
    <w:rsid w:val="27B76F0C"/>
    <w:rsid w:val="27FC2162"/>
    <w:rsid w:val="27FD0869"/>
    <w:rsid w:val="283E14E7"/>
    <w:rsid w:val="284B21B1"/>
    <w:rsid w:val="285D13A9"/>
    <w:rsid w:val="2884267E"/>
    <w:rsid w:val="28853ADB"/>
    <w:rsid w:val="289C2096"/>
    <w:rsid w:val="28B1736F"/>
    <w:rsid w:val="28D41273"/>
    <w:rsid w:val="28E84201"/>
    <w:rsid w:val="29052F62"/>
    <w:rsid w:val="290C442F"/>
    <w:rsid w:val="293F0F55"/>
    <w:rsid w:val="299F2A32"/>
    <w:rsid w:val="29A86CB8"/>
    <w:rsid w:val="29B66886"/>
    <w:rsid w:val="29DC650B"/>
    <w:rsid w:val="29EA4985"/>
    <w:rsid w:val="2A1F404C"/>
    <w:rsid w:val="2A2013EB"/>
    <w:rsid w:val="2A541FD5"/>
    <w:rsid w:val="2AA20801"/>
    <w:rsid w:val="2AB87157"/>
    <w:rsid w:val="2AE278D5"/>
    <w:rsid w:val="2AFF7591"/>
    <w:rsid w:val="2B181E15"/>
    <w:rsid w:val="2B1D0105"/>
    <w:rsid w:val="2B4C5204"/>
    <w:rsid w:val="2B527B15"/>
    <w:rsid w:val="2BB11BA3"/>
    <w:rsid w:val="2BC043F9"/>
    <w:rsid w:val="2BD22943"/>
    <w:rsid w:val="2C0D6F44"/>
    <w:rsid w:val="2C12591B"/>
    <w:rsid w:val="2C3930F9"/>
    <w:rsid w:val="2C411570"/>
    <w:rsid w:val="2C5C5FA3"/>
    <w:rsid w:val="2C72642F"/>
    <w:rsid w:val="2C917302"/>
    <w:rsid w:val="2CA6686E"/>
    <w:rsid w:val="2CE45944"/>
    <w:rsid w:val="2CEA0468"/>
    <w:rsid w:val="2CEB3218"/>
    <w:rsid w:val="2D266DEB"/>
    <w:rsid w:val="2D291565"/>
    <w:rsid w:val="2D3D2838"/>
    <w:rsid w:val="2D781D43"/>
    <w:rsid w:val="2D9B16BD"/>
    <w:rsid w:val="2DA71434"/>
    <w:rsid w:val="2E056DE4"/>
    <w:rsid w:val="2E7B2378"/>
    <w:rsid w:val="2EB5032D"/>
    <w:rsid w:val="2ECE3C9A"/>
    <w:rsid w:val="2EEE26FE"/>
    <w:rsid w:val="2F0C7614"/>
    <w:rsid w:val="2F0F1882"/>
    <w:rsid w:val="2F1F0A41"/>
    <w:rsid w:val="2F563846"/>
    <w:rsid w:val="2F5E5727"/>
    <w:rsid w:val="2F6126A2"/>
    <w:rsid w:val="2F6C07C0"/>
    <w:rsid w:val="2F860B30"/>
    <w:rsid w:val="2FB6309F"/>
    <w:rsid w:val="2FCF3AF9"/>
    <w:rsid w:val="2FE83F9F"/>
    <w:rsid w:val="300635B2"/>
    <w:rsid w:val="30173190"/>
    <w:rsid w:val="301B4202"/>
    <w:rsid w:val="30202658"/>
    <w:rsid w:val="303A56A5"/>
    <w:rsid w:val="3042487F"/>
    <w:rsid w:val="30442BA7"/>
    <w:rsid w:val="308943CF"/>
    <w:rsid w:val="308E5918"/>
    <w:rsid w:val="30957857"/>
    <w:rsid w:val="30A63C58"/>
    <w:rsid w:val="30AB45B7"/>
    <w:rsid w:val="30EA6915"/>
    <w:rsid w:val="312852AD"/>
    <w:rsid w:val="31363360"/>
    <w:rsid w:val="313C7BC6"/>
    <w:rsid w:val="314A52D8"/>
    <w:rsid w:val="314D32EF"/>
    <w:rsid w:val="316A71F6"/>
    <w:rsid w:val="31814B34"/>
    <w:rsid w:val="31942C78"/>
    <w:rsid w:val="31A214F3"/>
    <w:rsid w:val="31C7471D"/>
    <w:rsid w:val="31CD2C94"/>
    <w:rsid w:val="32023884"/>
    <w:rsid w:val="32270B61"/>
    <w:rsid w:val="32407E2A"/>
    <w:rsid w:val="324B2D96"/>
    <w:rsid w:val="325D23D0"/>
    <w:rsid w:val="325D42D0"/>
    <w:rsid w:val="32713E96"/>
    <w:rsid w:val="3273791F"/>
    <w:rsid w:val="327A2CE4"/>
    <w:rsid w:val="32935E67"/>
    <w:rsid w:val="32FB1B2B"/>
    <w:rsid w:val="33236153"/>
    <w:rsid w:val="33256A54"/>
    <w:rsid w:val="33331C95"/>
    <w:rsid w:val="334749CD"/>
    <w:rsid w:val="334C2E14"/>
    <w:rsid w:val="336F0F02"/>
    <w:rsid w:val="33753B52"/>
    <w:rsid w:val="3420011A"/>
    <w:rsid w:val="342266B9"/>
    <w:rsid w:val="34305309"/>
    <w:rsid w:val="343332E9"/>
    <w:rsid w:val="34377172"/>
    <w:rsid w:val="34461AE9"/>
    <w:rsid w:val="34547B12"/>
    <w:rsid w:val="347866A6"/>
    <w:rsid w:val="34A01296"/>
    <w:rsid w:val="34A87B9B"/>
    <w:rsid w:val="34AD636D"/>
    <w:rsid w:val="34CA07BF"/>
    <w:rsid w:val="34D35AEF"/>
    <w:rsid w:val="34D37972"/>
    <w:rsid w:val="35194A87"/>
    <w:rsid w:val="35420540"/>
    <w:rsid w:val="35533710"/>
    <w:rsid w:val="3567495C"/>
    <w:rsid w:val="357527F6"/>
    <w:rsid w:val="35B40B4F"/>
    <w:rsid w:val="35B64FD1"/>
    <w:rsid w:val="35B76E53"/>
    <w:rsid w:val="35CA5168"/>
    <w:rsid w:val="35EF553F"/>
    <w:rsid w:val="35F43894"/>
    <w:rsid w:val="360F0B1B"/>
    <w:rsid w:val="361B3D54"/>
    <w:rsid w:val="362C2535"/>
    <w:rsid w:val="363516F3"/>
    <w:rsid w:val="36520761"/>
    <w:rsid w:val="365F6B1A"/>
    <w:rsid w:val="36931985"/>
    <w:rsid w:val="369A054A"/>
    <w:rsid w:val="36B204F3"/>
    <w:rsid w:val="36B60997"/>
    <w:rsid w:val="36BA5016"/>
    <w:rsid w:val="36DA762D"/>
    <w:rsid w:val="36DE2B47"/>
    <w:rsid w:val="37036FE3"/>
    <w:rsid w:val="371F3330"/>
    <w:rsid w:val="373569A8"/>
    <w:rsid w:val="373A2E6A"/>
    <w:rsid w:val="373F51AE"/>
    <w:rsid w:val="376D493E"/>
    <w:rsid w:val="377C57F0"/>
    <w:rsid w:val="379151F3"/>
    <w:rsid w:val="379809F9"/>
    <w:rsid w:val="37BF6ADE"/>
    <w:rsid w:val="37C47E8D"/>
    <w:rsid w:val="37CD79C5"/>
    <w:rsid w:val="37EA0FBF"/>
    <w:rsid w:val="38113AF2"/>
    <w:rsid w:val="384E6F01"/>
    <w:rsid w:val="38711810"/>
    <w:rsid w:val="38880168"/>
    <w:rsid w:val="388B6D62"/>
    <w:rsid w:val="389B0FE5"/>
    <w:rsid w:val="38A97338"/>
    <w:rsid w:val="38B213D3"/>
    <w:rsid w:val="38B55278"/>
    <w:rsid w:val="38D233FA"/>
    <w:rsid w:val="38D43BCE"/>
    <w:rsid w:val="38DC258D"/>
    <w:rsid w:val="38DE2653"/>
    <w:rsid w:val="38FD34A3"/>
    <w:rsid w:val="3908323F"/>
    <w:rsid w:val="39AE4056"/>
    <w:rsid w:val="39DF0321"/>
    <w:rsid w:val="39FD4DC6"/>
    <w:rsid w:val="3A1530F4"/>
    <w:rsid w:val="3A29374E"/>
    <w:rsid w:val="3A3838BE"/>
    <w:rsid w:val="3A3F3F36"/>
    <w:rsid w:val="3A6378C2"/>
    <w:rsid w:val="3A6A7EB6"/>
    <w:rsid w:val="3A8A0C83"/>
    <w:rsid w:val="3AAA5BBC"/>
    <w:rsid w:val="3ABF2DB0"/>
    <w:rsid w:val="3ACE3716"/>
    <w:rsid w:val="3B1E7B32"/>
    <w:rsid w:val="3B687311"/>
    <w:rsid w:val="3B6B49ED"/>
    <w:rsid w:val="3B7B29BE"/>
    <w:rsid w:val="3B9B3501"/>
    <w:rsid w:val="3BB723BA"/>
    <w:rsid w:val="3BEF174F"/>
    <w:rsid w:val="3BF849DD"/>
    <w:rsid w:val="3BFE2C7C"/>
    <w:rsid w:val="3C2E346D"/>
    <w:rsid w:val="3C5A47C8"/>
    <w:rsid w:val="3C6541EF"/>
    <w:rsid w:val="3D036D7F"/>
    <w:rsid w:val="3D125E5C"/>
    <w:rsid w:val="3D5C3C52"/>
    <w:rsid w:val="3D6D0424"/>
    <w:rsid w:val="3D7D68E8"/>
    <w:rsid w:val="3D970E48"/>
    <w:rsid w:val="3DC50C60"/>
    <w:rsid w:val="3DF43ED5"/>
    <w:rsid w:val="3E12574F"/>
    <w:rsid w:val="3E1B192A"/>
    <w:rsid w:val="3E406BBC"/>
    <w:rsid w:val="3E620DC8"/>
    <w:rsid w:val="3E9111B3"/>
    <w:rsid w:val="3EAB08D1"/>
    <w:rsid w:val="3EC93880"/>
    <w:rsid w:val="3EDE01B4"/>
    <w:rsid w:val="3F284687"/>
    <w:rsid w:val="3F475658"/>
    <w:rsid w:val="3F48598F"/>
    <w:rsid w:val="3F610F6F"/>
    <w:rsid w:val="3F7B0202"/>
    <w:rsid w:val="3F7B467C"/>
    <w:rsid w:val="3F8534F2"/>
    <w:rsid w:val="3F8D6CDE"/>
    <w:rsid w:val="3FBB4BAB"/>
    <w:rsid w:val="3FC73E38"/>
    <w:rsid w:val="3FC94A64"/>
    <w:rsid w:val="3FD00131"/>
    <w:rsid w:val="4000715A"/>
    <w:rsid w:val="401C1CA2"/>
    <w:rsid w:val="402A1497"/>
    <w:rsid w:val="406F7223"/>
    <w:rsid w:val="40923722"/>
    <w:rsid w:val="40B24041"/>
    <w:rsid w:val="40D00C0D"/>
    <w:rsid w:val="40E56374"/>
    <w:rsid w:val="410368D3"/>
    <w:rsid w:val="41180D6F"/>
    <w:rsid w:val="418271DC"/>
    <w:rsid w:val="418F61B9"/>
    <w:rsid w:val="41B6163B"/>
    <w:rsid w:val="41D8134D"/>
    <w:rsid w:val="41FC1B44"/>
    <w:rsid w:val="424B2917"/>
    <w:rsid w:val="42750DD3"/>
    <w:rsid w:val="429E05A2"/>
    <w:rsid w:val="42A01C88"/>
    <w:rsid w:val="42CA3879"/>
    <w:rsid w:val="42F53C38"/>
    <w:rsid w:val="42FB3E52"/>
    <w:rsid w:val="4300690C"/>
    <w:rsid w:val="43352697"/>
    <w:rsid w:val="43422C42"/>
    <w:rsid w:val="434E3D91"/>
    <w:rsid w:val="4371518A"/>
    <w:rsid w:val="43745761"/>
    <w:rsid w:val="437D4859"/>
    <w:rsid w:val="437F10A8"/>
    <w:rsid w:val="43825471"/>
    <w:rsid w:val="4385071C"/>
    <w:rsid w:val="43AD4F9B"/>
    <w:rsid w:val="43B55721"/>
    <w:rsid w:val="43DC2295"/>
    <w:rsid w:val="43E61D64"/>
    <w:rsid w:val="43F45F21"/>
    <w:rsid w:val="43F667ED"/>
    <w:rsid w:val="4445734B"/>
    <w:rsid w:val="44526AE5"/>
    <w:rsid w:val="44704880"/>
    <w:rsid w:val="4473732A"/>
    <w:rsid w:val="447D6C1D"/>
    <w:rsid w:val="44815327"/>
    <w:rsid w:val="44DF5888"/>
    <w:rsid w:val="44E20E25"/>
    <w:rsid w:val="4505615F"/>
    <w:rsid w:val="4515562E"/>
    <w:rsid w:val="451C39DB"/>
    <w:rsid w:val="45251B91"/>
    <w:rsid w:val="45457AB8"/>
    <w:rsid w:val="454911CF"/>
    <w:rsid w:val="45553EFD"/>
    <w:rsid w:val="45651B1F"/>
    <w:rsid w:val="45797D18"/>
    <w:rsid w:val="457F74DA"/>
    <w:rsid w:val="45813C7A"/>
    <w:rsid w:val="45D212DD"/>
    <w:rsid w:val="45E368A1"/>
    <w:rsid w:val="45FD1EC4"/>
    <w:rsid w:val="46052AC9"/>
    <w:rsid w:val="464C33C7"/>
    <w:rsid w:val="464F05D7"/>
    <w:rsid w:val="46634EB1"/>
    <w:rsid w:val="466C646E"/>
    <w:rsid w:val="46870BD8"/>
    <w:rsid w:val="46CC4C1C"/>
    <w:rsid w:val="46E2491C"/>
    <w:rsid w:val="47012A9A"/>
    <w:rsid w:val="470E2B45"/>
    <w:rsid w:val="471369EF"/>
    <w:rsid w:val="47690EAD"/>
    <w:rsid w:val="478B44F4"/>
    <w:rsid w:val="479B7CFE"/>
    <w:rsid w:val="479E32F6"/>
    <w:rsid w:val="47A05C4D"/>
    <w:rsid w:val="47AE0A48"/>
    <w:rsid w:val="47C7511B"/>
    <w:rsid w:val="47CA5ED0"/>
    <w:rsid w:val="47DC4C30"/>
    <w:rsid w:val="4845355B"/>
    <w:rsid w:val="48586A3A"/>
    <w:rsid w:val="488A78DE"/>
    <w:rsid w:val="48A535C5"/>
    <w:rsid w:val="48B65743"/>
    <w:rsid w:val="48BD07E6"/>
    <w:rsid w:val="48ED21B1"/>
    <w:rsid w:val="48F33068"/>
    <w:rsid w:val="492D55EF"/>
    <w:rsid w:val="49441DC3"/>
    <w:rsid w:val="497778A9"/>
    <w:rsid w:val="4981533F"/>
    <w:rsid w:val="49AD6CEA"/>
    <w:rsid w:val="49D073F0"/>
    <w:rsid w:val="49D9493E"/>
    <w:rsid w:val="49F50CB4"/>
    <w:rsid w:val="49FC39E1"/>
    <w:rsid w:val="49FE76B2"/>
    <w:rsid w:val="4A0E26B7"/>
    <w:rsid w:val="4A0F7232"/>
    <w:rsid w:val="4A407836"/>
    <w:rsid w:val="4A4E360C"/>
    <w:rsid w:val="4A554309"/>
    <w:rsid w:val="4A64167A"/>
    <w:rsid w:val="4AC1656E"/>
    <w:rsid w:val="4AC80C02"/>
    <w:rsid w:val="4AEE478F"/>
    <w:rsid w:val="4B09706E"/>
    <w:rsid w:val="4B330DED"/>
    <w:rsid w:val="4B354941"/>
    <w:rsid w:val="4B395511"/>
    <w:rsid w:val="4B6216E5"/>
    <w:rsid w:val="4B7462C1"/>
    <w:rsid w:val="4BB218CE"/>
    <w:rsid w:val="4BCD4308"/>
    <w:rsid w:val="4BEB0FE1"/>
    <w:rsid w:val="4C0B0FAD"/>
    <w:rsid w:val="4C521200"/>
    <w:rsid w:val="4C96348A"/>
    <w:rsid w:val="4CBA6BE7"/>
    <w:rsid w:val="4CBB7B02"/>
    <w:rsid w:val="4CD00124"/>
    <w:rsid w:val="4CEC1471"/>
    <w:rsid w:val="4CF679F5"/>
    <w:rsid w:val="4D1C7953"/>
    <w:rsid w:val="4D257070"/>
    <w:rsid w:val="4D9E5B58"/>
    <w:rsid w:val="4DB91EAE"/>
    <w:rsid w:val="4DBB7E42"/>
    <w:rsid w:val="4E123A61"/>
    <w:rsid w:val="4E19744B"/>
    <w:rsid w:val="4E283BF9"/>
    <w:rsid w:val="4E3A6D5B"/>
    <w:rsid w:val="4E3E3598"/>
    <w:rsid w:val="4E44668E"/>
    <w:rsid w:val="4E816476"/>
    <w:rsid w:val="4E871BD5"/>
    <w:rsid w:val="4EF361CB"/>
    <w:rsid w:val="4F08177C"/>
    <w:rsid w:val="4F3D2869"/>
    <w:rsid w:val="4F7702EF"/>
    <w:rsid w:val="4FB21211"/>
    <w:rsid w:val="4FBD02F1"/>
    <w:rsid w:val="4FD96C83"/>
    <w:rsid w:val="4FDA3660"/>
    <w:rsid w:val="4FDD2612"/>
    <w:rsid w:val="4FEB31E9"/>
    <w:rsid w:val="500013B1"/>
    <w:rsid w:val="50065197"/>
    <w:rsid w:val="501F29F2"/>
    <w:rsid w:val="5055335F"/>
    <w:rsid w:val="50652BEB"/>
    <w:rsid w:val="506B150D"/>
    <w:rsid w:val="508F6D9B"/>
    <w:rsid w:val="50B559A4"/>
    <w:rsid w:val="50B80CCF"/>
    <w:rsid w:val="50C073CC"/>
    <w:rsid w:val="50C74476"/>
    <w:rsid w:val="50F73D51"/>
    <w:rsid w:val="50F96C4E"/>
    <w:rsid w:val="511942FF"/>
    <w:rsid w:val="512F6BEF"/>
    <w:rsid w:val="51D73E6E"/>
    <w:rsid w:val="51D904AC"/>
    <w:rsid w:val="5201460A"/>
    <w:rsid w:val="52015D8E"/>
    <w:rsid w:val="520B25EE"/>
    <w:rsid w:val="521D49F1"/>
    <w:rsid w:val="522C3822"/>
    <w:rsid w:val="523151D7"/>
    <w:rsid w:val="523503EF"/>
    <w:rsid w:val="52427CA8"/>
    <w:rsid w:val="525E6818"/>
    <w:rsid w:val="526B2DEC"/>
    <w:rsid w:val="52AE312E"/>
    <w:rsid w:val="52B33948"/>
    <w:rsid w:val="52BE565A"/>
    <w:rsid w:val="52C02302"/>
    <w:rsid w:val="52D65C92"/>
    <w:rsid w:val="53021A27"/>
    <w:rsid w:val="53026C32"/>
    <w:rsid w:val="533325E8"/>
    <w:rsid w:val="53502619"/>
    <w:rsid w:val="53722238"/>
    <w:rsid w:val="539D5BBB"/>
    <w:rsid w:val="53A95F2A"/>
    <w:rsid w:val="53B87F10"/>
    <w:rsid w:val="53C55DC9"/>
    <w:rsid w:val="53E8282F"/>
    <w:rsid w:val="53EB2012"/>
    <w:rsid w:val="53F93BD3"/>
    <w:rsid w:val="53F96790"/>
    <w:rsid w:val="53FE62CD"/>
    <w:rsid w:val="540F05AA"/>
    <w:rsid w:val="541548AE"/>
    <w:rsid w:val="5421495A"/>
    <w:rsid w:val="54222D4E"/>
    <w:rsid w:val="543729CB"/>
    <w:rsid w:val="54720E6C"/>
    <w:rsid w:val="547A145C"/>
    <w:rsid w:val="54921106"/>
    <w:rsid w:val="54981CA1"/>
    <w:rsid w:val="54B93795"/>
    <w:rsid w:val="54CF284E"/>
    <w:rsid w:val="54DF2057"/>
    <w:rsid w:val="54EA51C3"/>
    <w:rsid w:val="54ED2C59"/>
    <w:rsid w:val="552C7BA2"/>
    <w:rsid w:val="553375AE"/>
    <w:rsid w:val="554376C8"/>
    <w:rsid w:val="554973D6"/>
    <w:rsid w:val="554F0D7B"/>
    <w:rsid w:val="559D7DD8"/>
    <w:rsid w:val="55B62F64"/>
    <w:rsid w:val="55B80C24"/>
    <w:rsid w:val="55BD4F0C"/>
    <w:rsid w:val="55EA21DF"/>
    <w:rsid w:val="55EB3A9F"/>
    <w:rsid w:val="55FE7083"/>
    <w:rsid w:val="562C4C2E"/>
    <w:rsid w:val="56384148"/>
    <w:rsid w:val="56482744"/>
    <w:rsid w:val="565A13B3"/>
    <w:rsid w:val="56612DDB"/>
    <w:rsid w:val="5676470A"/>
    <w:rsid w:val="56781174"/>
    <w:rsid w:val="56787830"/>
    <w:rsid w:val="56BD210C"/>
    <w:rsid w:val="56BF2AC3"/>
    <w:rsid w:val="57023C45"/>
    <w:rsid w:val="5720074D"/>
    <w:rsid w:val="572300F2"/>
    <w:rsid w:val="57390EDE"/>
    <w:rsid w:val="57442B4E"/>
    <w:rsid w:val="57AB5FA9"/>
    <w:rsid w:val="57AE2D85"/>
    <w:rsid w:val="57B168CB"/>
    <w:rsid w:val="57B738E0"/>
    <w:rsid w:val="585E29F9"/>
    <w:rsid w:val="58910527"/>
    <w:rsid w:val="58C62EEE"/>
    <w:rsid w:val="58C94687"/>
    <w:rsid w:val="591E0592"/>
    <w:rsid w:val="59443584"/>
    <w:rsid w:val="596326A9"/>
    <w:rsid w:val="596400E7"/>
    <w:rsid w:val="59812E2C"/>
    <w:rsid w:val="59B50998"/>
    <w:rsid w:val="59B53227"/>
    <w:rsid w:val="59E95F0A"/>
    <w:rsid w:val="59EF1F13"/>
    <w:rsid w:val="59F01F19"/>
    <w:rsid w:val="5A1560F8"/>
    <w:rsid w:val="5A262260"/>
    <w:rsid w:val="5A481548"/>
    <w:rsid w:val="5A4F4B83"/>
    <w:rsid w:val="5A4F57C5"/>
    <w:rsid w:val="5A565CD3"/>
    <w:rsid w:val="5A5D67C7"/>
    <w:rsid w:val="5AAD3281"/>
    <w:rsid w:val="5AC247F5"/>
    <w:rsid w:val="5AC86500"/>
    <w:rsid w:val="5AD0649E"/>
    <w:rsid w:val="5AD8444C"/>
    <w:rsid w:val="5AF432D7"/>
    <w:rsid w:val="5B242A4F"/>
    <w:rsid w:val="5B6F5A0C"/>
    <w:rsid w:val="5B767AF0"/>
    <w:rsid w:val="5B8F379F"/>
    <w:rsid w:val="5B9F2730"/>
    <w:rsid w:val="5BA85095"/>
    <w:rsid w:val="5BCD559B"/>
    <w:rsid w:val="5C5750BA"/>
    <w:rsid w:val="5C7D4D78"/>
    <w:rsid w:val="5C812DA3"/>
    <w:rsid w:val="5C9E6620"/>
    <w:rsid w:val="5CA05850"/>
    <w:rsid w:val="5CE45DBE"/>
    <w:rsid w:val="5CF22A1A"/>
    <w:rsid w:val="5D24197B"/>
    <w:rsid w:val="5D4D1A24"/>
    <w:rsid w:val="5D867492"/>
    <w:rsid w:val="5D8C41BA"/>
    <w:rsid w:val="5DAF334A"/>
    <w:rsid w:val="5DDF4D26"/>
    <w:rsid w:val="5E087EA2"/>
    <w:rsid w:val="5E357730"/>
    <w:rsid w:val="5E363234"/>
    <w:rsid w:val="5E731570"/>
    <w:rsid w:val="5E943816"/>
    <w:rsid w:val="5EA52739"/>
    <w:rsid w:val="5EA5785A"/>
    <w:rsid w:val="5EAC33E3"/>
    <w:rsid w:val="5ED358B4"/>
    <w:rsid w:val="5EF6627A"/>
    <w:rsid w:val="5F037BD6"/>
    <w:rsid w:val="5F3336A5"/>
    <w:rsid w:val="5F3460CD"/>
    <w:rsid w:val="5F394746"/>
    <w:rsid w:val="5F654B44"/>
    <w:rsid w:val="5F6B306A"/>
    <w:rsid w:val="5F6C71E6"/>
    <w:rsid w:val="5F7661BF"/>
    <w:rsid w:val="5F881135"/>
    <w:rsid w:val="5F8E7C87"/>
    <w:rsid w:val="5F9D02B3"/>
    <w:rsid w:val="5FA102D1"/>
    <w:rsid w:val="5FBB2206"/>
    <w:rsid w:val="5FC26EAD"/>
    <w:rsid w:val="5FD215D7"/>
    <w:rsid w:val="5FDD3E87"/>
    <w:rsid w:val="5FDF25ED"/>
    <w:rsid w:val="5FE524F1"/>
    <w:rsid w:val="600F1E17"/>
    <w:rsid w:val="60204443"/>
    <w:rsid w:val="602A71DA"/>
    <w:rsid w:val="60484940"/>
    <w:rsid w:val="60575D03"/>
    <w:rsid w:val="606E13E2"/>
    <w:rsid w:val="60925AC1"/>
    <w:rsid w:val="60C82BBA"/>
    <w:rsid w:val="60CC7CFF"/>
    <w:rsid w:val="60FC03B9"/>
    <w:rsid w:val="611275D3"/>
    <w:rsid w:val="6117553F"/>
    <w:rsid w:val="616F65D9"/>
    <w:rsid w:val="6194428A"/>
    <w:rsid w:val="61A569A0"/>
    <w:rsid w:val="61D10197"/>
    <w:rsid w:val="61D32D31"/>
    <w:rsid w:val="61D3707F"/>
    <w:rsid w:val="61E51CEB"/>
    <w:rsid w:val="61ED2684"/>
    <w:rsid w:val="62225283"/>
    <w:rsid w:val="62297593"/>
    <w:rsid w:val="622C19E8"/>
    <w:rsid w:val="62336FBD"/>
    <w:rsid w:val="627B7CAA"/>
    <w:rsid w:val="62842766"/>
    <w:rsid w:val="62A86E8C"/>
    <w:rsid w:val="63257DB5"/>
    <w:rsid w:val="632D3315"/>
    <w:rsid w:val="632E3227"/>
    <w:rsid w:val="634873A7"/>
    <w:rsid w:val="6356637E"/>
    <w:rsid w:val="635F39A9"/>
    <w:rsid w:val="63734145"/>
    <w:rsid w:val="637E34FA"/>
    <w:rsid w:val="63853C1E"/>
    <w:rsid w:val="639345E4"/>
    <w:rsid w:val="63D81B08"/>
    <w:rsid w:val="63EA7F12"/>
    <w:rsid w:val="641526D4"/>
    <w:rsid w:val="6422650A"/>
    <w:rsid w:val="6431519E"/>
    <w:rsid w:val="64410E10"/>
    <w:rsid w:val="645851A4"/>
    <w:rsid w:val="64796F9E"/>
    <w:rsid w:val="64835F2F"/>
    <w:rsid w:val="648469A8"/>
    <w:rsid w:val="648E0F1D"/>
    <w:rsid w:val="64BD5BE6"/>
    <w:rsid w:val="64C570B3"/>
    <w:rsid w:val="64D80423"/>
    <w:rsid w:val="651725E2"/>
    <w:rsid w:val="65197009"/>
    <w:rsid w:val="651D02EE"/>
    <w:rsid w:val="6552193A"/>
    <w:rsid w:val="65713082"/>
    <w:rsid w:val="657173A5"/>
    <w:rsid w:val="657D701C"/>
    <w:rsid w:val="658045DA"/>
    <w:rsid w:val="658557B5"/>
    <w:rsid w:val="65B1323D"/>
    <w:rsid w:val="65FE6126"/>
    <w:rsid w:val="66196874"/>
    <w:rsid w:val="66267E1A"/>
    <w:rsid w:val="663432AE"/>
    <w:rsid w:val="664114DB"/>
    <w:rsid w:val="6661789B"/>
    <w:rsid w:val="667E00F5"/>
    <w:rsid w:val="668652F7"/>
    <w:rsid w:val="66900CCE"/>
    <w:rsid w:val="669329CE"/>
    <w:rsid w:val="669B4DB5"/>
    <w:rsid w:val="66A17D8C"/>
    <w:rsid w:val="66B37847"/>
    <w:rsid w:val="66D24405"/>
    <w:rsid w:val="66D45137"/>
    <w:rsid w:val="66FF3B54"/>
    <w:rsid w:val="673761DF"/>
    <w:rsid w:val="67490A56"/>
    <w:rsid w:val="67560E79"/>
    <w:rsid w:val="675B57F5"/>
    <w:rsid w:val="676207E2"/>
    <w:rsid w:val="67993ACA"/>
    <w:rsid w:val="679F1891"/>
    <w:rsid w:val="67B17ACE"/>
    <w:rsid w:val="67CE1204"/>
    <w:rsid w:val="67D2542E"/>
    <w:rsid w:val="67D73CED"/>
    <w:rsid w:val="67DA7677"/>
    <w:rsid w:val="68166F65"/>
    <w:rsid w:val="682F09FB"/>
    <w:rsid w:val="68363F74"/>
    <w:rsid w:val="68383846"/>
    <w:rsid w:val="683C4862"/>
    <w:rsid w:val="684B46A6"/>
    <w:rsid w:val="68741E43"/>
    <w:rsid w:val="68823FCB"/>
    <w:rsid w:val="688C5A30"/>
    <w:rsid w:val="689D2050"/>
    <w:rsid w:val="68FF3609"/>
    <w:rsid w:val="69052EA9"/>
    <w:rsid w:val="692A1253"/>
    <w:rsid w:val="695A62A9"/>
    <w:rsid w:val="696F00F8"/>
    <w:rsid w:val="69700CF7"/>
    <w:rsid w:val="69805139"/>
    <w:rsid w:val="69A84301"/>
    <w:rsid w:val="69B339A6"/>
    <w:rsid w:val="69BF5FA1"/>
    <w:rsid w:val="69C0745F"/>
    <w:rsid w:val="69DC70B5"/>
    <w:rsid w:val="69F61443"/>
    <w:rsid w:val="6A093889"/>
    <w:rsid w:val="6A1123CE"/>
    <w:rsid w:val="6A1C4E1A"/>
    <w:rsid w:val="6A2570C4"/>
    <w:rsid w:val="6A2A4881"/>
    <w:rsid w:val="6A2F4319"/>
    <w:rsid w:val="6A4C5016"/>
    <w:rsid w:val="6A6E1B96"/>
    <w:rsid w:val="6ABA3C14"/>
    <w:rsid w:val="6ABB4FD3"/>
    <w:rsid w:val="6AC93F8C"/>
    <w:rsid w:val="6ACF3867"/>
    <w:rsid w:val="6B11677F"/>
    <w:rsid w:val="6B136D2A"/>
    <w:rsid w:val="6B2921E1"/>
    <w:rsid w:val="6B343EE4"/>
    <w:rsid w:val="6B3C268B"/>
    <w:rsid w:val="6B3D4A1D"/>
    <w:rsid w:val="6B4F4D01"/>
    <w:rsid w:val="6B8C15AF"/>
    <w:rsid w:val="6BE115FE"/>
    <w:rsid w:val="6BE446B3"/>
    <w:rsid w:val="6BE73E6E"/>
    <w:rsid w:val="6BFC7276"/>
    <w:rsid w:val="6C151721"/>
    <w:rsid w:val="6C386C3C"/>
    <w:rsid w:val="6C3F2DC1"/>
    <w:rsid w:val="6C54593C"/>
    <w:rsid w:val="6C6A7B10"/>
    <w:rsid w:val="6C77419B"/>
    <w:rsid w:val="6C802B7B"/>
    <w:rsid w:val="6C8C2E41"/>
    <w:rsid w:val="6CB308DE"/>
    <w:rsid w:val="6CB346B7"/>
    <w:rsid w:val="6CB42DAF"/>
    <w:rsid w:val="6CB55648"/>
    <w:rsid w:val="6CC22A75"/>
    <w:rsid w:val="6CD3550E"/>
    <w:rsid w:val="6D0728DC"/>
    <w:rsid w:val="6D2F008D"/>
    <w:rsid w:val="6D636B4E"/>
    <w:rsid w:val="6D9C5340"/>
    <w:rsid w:val="6DBC6185"/>
    <w:rsid w:val="6DD247B6"/>
    <w:rsid w:val="6DD65E47"/>
    <w:rsid w:val="6DE227B2"/>
    <w:rsid w:val="6DF50676"/>
    <w:rsid w:val="6DFA65EF"/>
    <w:rsid w:val="6E02368D"/>
    <w:rsid w:val="6E2476C2"/>
    <w:rsid w:val="6E4E3407"/>
    <w:rsid w:val="6E4F4B25"/>
    <w:rsid w:val="6E9C1600"/>
    <w:rsid w:val="6EAD3DE6"/>
    <w:rsid w:val="6EC67286"/>
    <w:rsid w:val="6ED44793"/>
    <w:rsid w:val="6EF60047"/>
    <w:rsid w:val="6EFB556C"/>
    <w:rsid w:val="6F365528"/>
    <w:rsid w:val="6F37467A"/>
    <w:rsid w:val="6F6312C6"/>
    <w:rsid w:val="6F6571D2"/>
    <w:rsid w:val="6F66712A"/>
    <w:rsid w:val="6F6E7020"/>
    <w:rsid w:val="6F860DCF"/>
    <w:rsid w:val="6F9F0D77"/>
    <w:rsid w:val="6FD4021F"/>
    <w:rsid w:val="6FEA23A2"/>
    <w:rsid w:val="70105602"/>
    <w:rsid w:val="70134DF9"/>
    <w:rsid w:val="70315D0B"/>
    <w:rsid w:val="70375279"/>
    <w:rsid w:val="705642DC"/>
    <w:rsid w:val="706836AD"/>
    <w:rsid w:val="707B50A1"/>
    <w:rsid w:val="709C706E"/>
    <w:rsid w:val="70A73D06"/>
    <w:rsid w:val="70AA0F48"/>
    <w:rsid w:val="70AA1DDF"/>
    <w:rsid w:val="70AA46C2"/>
    <w:rsid w:val="70CC2528"/>
    <w:rsid w:val="710131FE"/>
    <w:rsid w:val="710E2E95"/>
    <w:rsid w:val="712F05D2"/>
    <w:rsid w:val="714D744E"/>
    <w:rsid w:val="71942565"/>
    <w:rsid w:val="71E67CFA"/>
    <w:rsid w:val="72762B07"/>
    <w:rsid w:val="72770656"/>
    <w:rsid w:val="728404E1"/>
    <w:rsid w:val="728576DC"/>
    <w:rsid w:val="729444CB"/>
    <w:rsid w:val="72AF7717"/>
    <w:rsid w:val="72C02D8D"/>
    <w:rsid w:val="72C606B1"/>
    <w:rsid w:val="73024FF9"/>
    <w:rsid w:val="730C1454"/>
    <w:rsid w:val="731468B0"/>
    <w:rsid w:val="731D5A9A"/>
    <w:rsid w:val="73493F99"/>
    <w:rsid w:val="735A232C"/>
    <w:rsid w:val="735B2304"/>
    <w:rsid w:val="736A5A3C"/>
    <w:rsid w:val="73782BDA"/>
    <w:rsid w:val="737D693A"/>
    <w:rsid w:val="7383058B"/>
    <w:rsid w:val="73992BDC"/>
    <w:rsid w:val="73DD3136"/>
    <w:rsid w:val="74215AEF"/>
    <w:rsid w:val="74242B43"/>
    <w:rsid w:val="744E398E"/>
    <w:rsid w:val="74535658"/>
    <w:rsid w:val="746147AE"/>
    <w:rsid w:val="74885903"/>
    <w:rsid w:val="7497437F"/>
    <w:rsid w:val="74A95205"/>
    <w:rsid w:val="74FD41BD"/>
    <w:rsid w:val="75100F4E"/>
    <w:rsid w:val="753F6DA8"/>
    <w:rsid w:val="754528A4"/>
    <w:rsid w:val="756225FF"/>
    <w:rsid w:val="756703B8"/>
    <w:rsid w:val="757A49DB"/>
    <w:rsid w:val="759A4F40"/>
    <w:rsid w:val="75A313D6"/>
    <w:rsid w:val="75A31C66"/>
    <w:rsid w:val="75AB5270"/>
    <w:rsid w:val="75DB0351"/>
    <w:rsid w:val="766629FE"/>
    <w:rsid w:val="7691334E"/>
    <w:rsid w:val="769C29F5"/>
    <w:rsid w:val="76E97048"/>
    <w:rsid w:val="77093BCD"/>
    <w:rsid w:val="77122E2A"/>
    <w:rsid w:val="77192EB2"/>
    <w:rsid w:val="772B0E02"/>
    <w:rsid w:val="775D0019"/>
    <w:rsid w:val="778655F7"/>
    <w:rsid w:val="778F0CF5"/>
    <w:rsid w:val="779B1019"/>
    <w:rsid w:val="77B94EA1"/>
    <w:rsid w:val="77C462C0"/>
    <w:rsid w:val="77CC0572"/>
    <w:rsid w:val="77D04EB7"/>
    <w:rsid w:val="78084B6A"/>
    <w:rsid w:val="78735A3B"/>
    <w:rsid w:val="788526FC"/>
    <w:rsid w:val="78893A99"/>
    <w:rsid w:val="78CC62F5"/>
    <w:rsid w:val="78DE0ECE"/>
    <w:rsid w:val="78EC7668"/>
    <w:rsid w:val="79091BE6"/>
    <w:rsid w:val="79254B21"/>
    <w:rsid w:val="7930480C"/>
    <w:rsid w:val="794F7E8E"/>
    <w:rsid w:val="795A7F13"/>
    <w:rsid w:val="79621A7C"/>
    <w:rsid w:val="79972088"/>
    <w:rsid w:val="79A464E4"/>
    <w:rsid w:val="79C45973"/>
    <w:rsid w:val="79C74053"/>
    <w:rsid w:val="7A347867"/>
    <w:rsid w:val="7A7D67E4"/>
    <w:rsid w:val="7A830B28"/>
    <w:rsid w:val="7A8D7F6F"/>
    <w:rsid w:val="7AC97945"/>
    <w:rsid w:val="7AE05054"/>
    <w:rsid w:val="7AFC08CE"/>
    <w:rsid w:val="7B547560"/>
    <w:rsid w:val="7B84015F"/>
    <w:rsid w:val="7B8D27F9"/>
    <w:rsid w:val="7B986C5D"/>
    <w:rsid w:val="7BAB6177"/>
    <w:rsid w:val="7BC47370"/>
    <w:rsid w:val="7C1F56F9"/>
    <w:rsid w:val="7C644227"/>
    <w:rsid w:val="7C6447B5"/>
    <w:rsid w:val="7C7340C6"/>
    <w:rsid w:val="7C8844B6"/>
    <w:rsid w:val="7C926509"/>
    <w:rsid w:val="7CA7500D"/>
    <w:rsid w:val="7CCC79ED"/>
    <w:rsid w:val="7D5B4B59"/>
    <w:rsid w:val="7D781E91"/>
    <w:rsid w:val="7D7A1D05"/>
    <w:rsid w:val="7D7F5F10"/>
    <w:rsid w:val="7D810AC9"/>
    <w:rsid w:val="7DA23F24"/>
    <w:rsid w:val="7DDF3E47"/>
    <w:rsid w:val="7DEE74F1"/>
    <w:rsid w:val="7E105C6D"/>
    <w:rsid w:val="7E6236FF"/>
    <w:rsid w:val="7E662B22"/>
    <w:rsid w:val="7E8C5D3C"/>
    <w:rsid w:val="7E90785A"/>
    <w:rsid w:val="7EB244C3"/>
    <w:rsid w:val="7EBA234D"/>
    <w:rsid w:val="7EFC1A7B"/>
    <w:rsid w:val="7F106461"/>
    <w:rsid w:val="7F314EF0"/>
    <w:rsid w:val="7F66591D"/>
    <w:rsid w:val="7F6B7839"/>
    <w:rsid w:val="7F9872B2"/>
    <w:rsid w:val="7FE169AF"/>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1">
    <w:name w:val="List Paragraph2"/>
    <w:basedOn w:val="1"/>
    <w:qFormat/>
    <w:uiPriority w:val="99"/>
    <w:pPr>
      <w:ind w:left="720"/>
      <w:contextualSpacing/>
    </w:pPr>
  </w:style>
  <w:style w:type="paragraph" w:customStyle="1" w:styleId="122">
    <w:name w:val="_Style 1"/>
    <w:basedOn w:val="1"/>
    <w:qFormat/>
    <w:uiPriority w:val="34"/>
    <w:pPr>
      <w:ind w:left="840" w:leftChars="400"/>
    </w:pPr>
  </w:style>
  <w:style w:type="paragraph" w:customStyle="1" w:styleId="123">
    <w:name w:val="Pat Appl"/>
    <w:basedOn w:val="124"/>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4">
    <w:name w:val="New Paragraph Style"/>
    <w:basedOn w:val="1"/>
    <w:qFormat/>
    <w:uiPriority w:val="0"/>
    <w:pPr>
      <w:tabs>
        <w:tab w:val="right" w:pos="1440"/>
      </w:tabs>
      <w:spacing w:line="480" w:lineRule="auto"/>
    </w:pPr>
    <w:rPr>
      <w:bCs/>
    </w:rPr>
  </w:style>
  <w:style w:type="paragraph" w:customStyle="1" w:styleId="125">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paragraph" w:customStyle="1" w:styleId="126">
    <w:name w:val="List Paragraph3"/>
    <w:basedOn w:val="1"/>
    <w:qFormat/>
    <w:uiPriority w:val="99"/>
    <w:pPr>
      <w:ind w:left="720"/>
      <w:contextualSpacing/>
    </w:pPr>
  </w:style>
  <w:style w:type="paragraph" w:styleId="127">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13</Pages>
  <Words>5713</Words>
  <Characters>32570</Characters>
  <Lines>271</Lines>
  <Paragraphs>76</Paragraphs>
  <TotalTime>54</TotalTime>
  <ScaleCrop>false</ScaleCrop>
  <LinksUpToDate>false</LinksUpToDate>
  <CharactersWithSpaces>38207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00206166</cp:lastModifiedBy>
  <cp:lastPrinted>2018-02-16T23:29:00Z</cp:lastPrinted>
  <dcterms:modified xsi:type="dcterms:W3CDTF">2019-02-16T02:42:27Z</dcterms:modified>
  <dc:title>3GPP TSG RAN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